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D8" w:rsidRDefault="002F57D8"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59264" behindDoc="0" locked="0" layoutInCell="1" allowOverlap="1" wp14:anchorId="55B5A456" wp14:editId="346E58BA">
                <wp:simplePos x="0" y="0"/>
                <wp:positionH relativeFrom="column">
                  <wp:posOffset>3661410</wp:posOffset>
                </wp:positionH>
                <wp:positionV relativeFrom="paragraph">
                  <wp:posOffset>-264795</wp:posOffset>
                </wp:positionV>
                <wp:extent cx="2486025" cy="13716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48602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7D8" w:rsidRDefault="002F57D8">
                            <w:r>
                              <w:rPr>
                                <w:noProof/>
                                <w:sz w:val="20"/>
                                <w:lang w:eastAsia="en-GB"/>
                              </w:rPr>
                              <w:drawing>
                                <wp:inline distT="0" distB="0" distL="0" distR="0" wp14:anchorId="4BB45336" wp14:editId="5FE90F03">
                                  <wp:extent cx="2390775" cy="1228593"/>
                                  <wp:effectExtent l="0" t="0" r="0" b="0"/>
                                  <wp:docPr id="5"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Lanc-Logo AMEND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5663" cy="1236244"/>
                                          </a:xfrm>
                                          <a:prstGeom prst="rect">
                                            <a:avLst/>
                                          </a:prstGeom>
                                          <a:noFill/>
                                          <a:ln>
                                            <a:noFill/>
                                          </a:ln>
                                        </pic:spPr>
                                      </pic:pic>
                                    </a:graphicData>
                                  </a:graphic>
                                </wp:inline>
                              </w:drawing>
                            </w:r>
                          </w:p>
                          <w:p w:rsidR="002F57D8" w:rsidRDefault="002F57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8.3pt;margin-top:-20.85pt;width:195.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" fillcolor="white [3201]" stroked="f" strokeweight=".5pt">
                <v:textbox>
                  <w:txbxContent>
                    <w:p w:rsidR="002F57D8" w:rsidRDefault="002F57D8">
                      <w:r>
                        <w:rPr>
                          <w:noProof/>
                          <w:sz w:val="20"/>
                          <w:lang w:eastAsia="en-GB"/>
                        </w:rPr>
                        <w:drawing>
                          <wp:inline distT="0" distB="0" distL="0" distR="0" wp14:anchorId="4BB45336" wp14:editId="5FE90F03">
                            <wp:extent cx="2390775" cy="1228593"/>
                            <wp:effectExtent l="0" t="0" r="0" b="0"/>
                            <wp:docPr id="5" name="Picture 1" descr="Central-Lanc-Logo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Lanc-Logo AMEND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5663" cy="1236244"/>
                                    </a:xfrm>
                                    <a:prstGeom prst="rect">
                                      <a:avLst/>
                                    </a:prstGeom>
                                    <a:noFill/>
                                    <a:ln>
                                      <a:noFill/>
                                    </a:ln>
                                  </pic:spPr>
                                </pic:pic>
                              </a:graphicData>
                            </a:graphic>
                          </wp:inline>
                        </w:drawing>
                      </w:r>
                    </w:p>
                    <w:p w:rsidR="002F57D8" w:rsidRDefault="002F57D8"/>
                  </w:txbxContent>
                </v:textbox>
              </v:shape>
            </w:pict>
          </mc:Fallback>
        </mc:AlternateContent>
      </w:r>
    </w:p>
    <w:p w:rsidR="000C5D20" w:rsidRPr="00B85F3A" w:rsidRDefault="00F95442" w:rsidP="007E36E3">
      <w:pPr>
        <w:tabs>
          <w:tab w:val="left" w:pos="567"/>
          <w:tab w:val="left" w:pos="9200"/>
        </w:tabs>
        <w:rPr>
          <w:rFonts w:ascii="Arial Black" w:hAnsi="Arial Black"/>
          <w:sz w:val="7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-405765</wp:posOffset>
                </wp:positionV>
                <wp:extent cx="2183130" cy="1003300"/>
                <wp:effectExtent l="0" t="0" r="762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0033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15D35" w:rsidRDefault="00F15D35" w:rsidP="002F57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pt;margin-top:-31.95pt;width:171.9pt;height: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" stroked="f" strokecolor="blue">
                <v:textbox>
                  <w:txbxContent>
                    <w:p w:rsidR="00F15D35" w:rsidRDefault="00F15D35" w:rsidP="002F57D8"/>
                  </w:txbxContent>
                </v:textbox>
              </v:shape>
            </w:pict>
          </mc:Fallback>
        </mc:AlternateContent>
      </w:r>
    </w:p>
    <w:tbl>
      <w:tblPr>
        <w:tblW w:w="98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510"/>
        <w:gridCol w:w="4329"/>
        <w:gridCol w:w="2026"/>
      </w:tblGrid>
      <w:tr w:rsidR="000C5D20" w:rsidRPr="00B85F3A" w:rsidTr="00A2073E">
        <w:trPr>
          <w:trHeight w:val="413"/>
        </w:trPr>
        <w:tc>
          <w:tcPr>
            <w:tcW w:w="3510" w:type="dxa"/>
            <w:shd w:val="clear" w:color="auto" w:fill="auto"/>
            <w:vAlign w:val="center"/>
          </w:tcPr>
          <w:p w:rsidR="000C5D20" w:rsidRPr="00B85F3A" w:rsidRDefault="000C5D20" w:rsidP="007E36E3">
            <w:pPr>
              <w:pStyle w:val="Heading3"/>
              <w:tabs>
                <w:tab w:val="left" w:pos="567"/>
              </w:tabs>
              <w:rPr>
                <w:color w:val="auto"/>
              </w:rPr>
            </w:pPr>
            <w:r w:rsidRPr="00B85F3A">
              <w:rPr>
                <w:color w:val="auto"/>
              </w:rPr>
              <w:t>Report of</w:t>
            </w:r>
          </w:p>
        </w:tc>
        <w:tc>
          <w:tcPr>
            <w:tcW w:w="4329" w:type="dxa"/>
            <w:shd w:val="clear" w:color="auto" w:fill="auto"/>
            <w:vAlign w:val="center"/>
          </w:tcPr>
          <w:p w:rsidR="000C5D20" w:rsidRPr="00B85F3A" w:rsidRDefault="000C5D20" w:rsidP="007E36E3">
            <w:pPr>
              <w:tabs>
                <w:tab w:val="left" w:pos="567"/>
              </w:tabs>
              <w:jc w:val="center"/>
              <w:rPr>
                <w:b/>
              </w:rPr>
            </w:pPr>
            <w:r w:rsidRPr="00B85F3A">
              <w:rPr>
                <w:b/>
              </w:rPr>
              <w:t>Meeting</w:t>
            </w:r>
          </w:p>
        </w:tc>
        <w:tc>
          <w:tcPr>
            <w:tcW w:w="2026" w:type="dxa"/>
            <w:shd w:val="clear" w:color="auto" w:fill="auto"/>
            <w:vAlign w:val="center"/>
          </w:tcPr>
          <w:p w:rsidR="000C5D20" w:rsidRPr="00B85F3A" w:rsidRDefault="000C5D20" w:rsidP="007E36E3">
            <w:pPr>
              <w:tabs>
                <w:tab w:val="left" w:pos="567"/>
              </w:tabs>
              <w:jc w:val="center"/>
              <w:rPr>
                <w:b/>
              </w:rPr>
            </w:pPr>
            <w:r w:rsidRPr="00B85F3A">
              <w:rPr>
                <w:b/>
              </w:rPr>
              <w:t>Date</w:t>
            </w:r>
          </w:p>
        </w:tc>
      </w:tr>
      <w:tr w:rsidR="000C5D20" w:rsidRPr="00B85F3A" w:rsidTr="00A2073E">
        <w:trPr>
          <w:trHeight w:val="743"/>
        </w:trPr>
        <w:tc>
          <w:tcPr>
            <w:tcW w:w="3510" w:type="dxa"/>
            <w:vAlign w:val="center"/>
          </w:tcPr>
          <w:p w:rsidR="000C5D20" w:rsidRPr="00B85F3A" w:rsidRDefault="002F57D8" w:rsidP="00102281">
            <w:pPr>
              <w:tabs>
                <w:tab w:val="left" w:pos="567"/>
              </w:tabs>
              <w:spacing w:before="60" w:after="60"/>
              <w:jc w:val="center"/>
              <w:rPr>
                <w:sz w:val="22"/>
              </w:rPr>
            </w:pPr>
            <w:r>
              <w:rPr>
                <w:sz w:val="22"/>
              </w:rPr>
              <w:t>Director (Business, Development and Growth), Chorley Council</w:t>
            </w:r>
          </w:p>
        </w:tc>
        <w:tc>
          <w:tcPr>
            <w:tcW w:w="4329" w:type="dxa"/>
            <w:vAlign w:val="center"/>
          </w:tcPr>
          <w:p w:rsidR="000C5D20" w:rsidRPr="00B85F3A" w:rsidRDefault="002F57D8" w:rsidP="007E36E3">
            <w:pPr>
              <w:pBdr>
                <w:top w:val="single" w:sz="2" w:space="0" w:color="FFFFFF"/>
                <w:left w:val="single" w:sz="2" w:space="0" w:color="FFFFFF"/>
                <w:bottom w:val="single" w:sz="2" w:space="2" w:color="FFFFFF"/>
                <w:right w:val="single" w:sz="2" w:space="4" w:color="FFFFFF"/>
              </w:pBdr>
              <w:tabs>
                <w:tab w:val="left" w:pos="567"/>
              </w:tabs>
              <w:spacing w:before="60" w:after="60"/>
              <w:jc w:val="center"/>
              <w:rPr>
                <w:sz w:val="22"/>
              </w:rPr>
            </w:pPr>
            <w:r>
              <w:rPr>
                <w:sz w:val="22"/>
              </w:rPr>
              <w:t>Central Lancashire Strategic Planning Joint Advisory Committee</w:t>
            </w:r>
          </w:p>
        </w:tc>
        <w:tc>
          <w:tcPr>
            <w:tcW w:w="2026" w:type="dxa"/>
            <w:vAlign w:val="center"/>
          </w:tcPr>
          <w:p w:rsidR="000C5D20" w:rsidRPr="00B85F3A" w:rsidRDefault="00157F08" w:rsidP="00DB3D4D">
            <w:pPr>
              <w:tabs>
                <w:tab w:val="left" w:pos="567"/>
              </w:tabs>
              <w:spacing w:before="60" w:after="60"/>
              <w:jc w:val="center"/>
              <w:rPr>
                <w:sz w:val="22"/>
              </w:rPr>
            </w:pPr>
            <w:r>
              <w:rPr>
                <w:sz w:val="22"/>
              </w:rPr>
              <w:t xml:space="preserve">30 </w:t>
            </w:r>
            <w:r w:rsidR="00454F7D">
              <w:rPr>
                <w:sz w:val="22"/>
              </w:rPr>
              <w:t>January 2017</w:t>
            </w:r>
          </w:p>
        </w:tc>
      </w:tr>
    </w:tbl>
    <w:p w:rsidR="00A60CFA" w:rsidRDefault="00A60CFA" w:rsidP="00A60CFA">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p>
    <w:p w:rsidR="000C5D20" w:rsidRDefault="00454F7D" w:rsidP="00A60CFA">
      <w:pPr>
        <w:pBdr>
          <w:top w:val="single" w:sz="2" w:space="0" w:color="FFFFFF"/>
          <w:left w:val="single" w:sz="2" w:space="0" w:color="FFFFFF"/>
          <w:bottom w:val="single" w:sz="2" w:space="2" w:color="FFFFFF"/>
          <w:right w:val="single" w:sz="2" w:space="4" w:color="FFFFFF"/>
        </w:pBdr>
        <w:tabs>
          <w:tab w:val="left" w:pos="567"/>
        </w:tabs>
        <w:ind w:right="141"/>
        <w:jc w:val="left"/>
        <w:rPr>
          <w:rFonts w:ascii="Arial Black" w:hAnsi="Arial Black"/>
          <w:caps/>
          <w:sz w:val="28"/>
        </w:rPr>
      </w:pPr>
      <w:r>
        <w:rPr>
          <w:rFonts w:ascii="Arial Black" w:hAnsi="Arial Black"/>
          <w:caps/>
          <w:sz w:val="28"/>
        </w:rPr>
        <w:t xml:space="preserve">cENTRAL lancashire Employment Land STUDY 2017 </w:t>
      </w:r>
    </w:p>
    <w:p w:rsidR="00454F7D" w:rsidRPr="00B85F3A" w:rsidRDefault="00454F7D" w:rsidP="00A60CFA">
      <w:pPr>
        <w:pBdr>
          <w:top w:val="single" w:sz="2" w:space="0" w:color="FFFFFF"/>
          <w:left w:val="single" w:sz="2" w:space="0" w:color="FFFFFF"/>
          <w:bottom w:val="single" w:sz="2" w:space="2" w:color="FFFFFF"/>
          <w:right w:val="single" w:sz="2" w:space="4" w:color="FFFFFF"/>
        </w:pBdr>
        <w:tabs>
          <w:tab w:val="left" w:pos="567"/>
        </w:tabs>
        <w:ind w:right="141"/>
        <w:jc w:val="left"/>
        <w:rPr>
          <w:b/>
          <w:caps/>
          <w:sz w:val="22"/>
        </w:rPr>
      </w:pPr>
    </w:p>
    <w:tbl>
      <w:tblPr>
        <w:tblW w:w="0" w:type="auto"/>
        <w:tblLook w:val="01E0" w:firstRow="1" w:lastRow="1" w:firstColumn="1" w:lastColumn="1" w:noHBand="0" w:noVBand="0"/>
      </w:tblPr>
      <w:tblGrid>
        <w:gridCol w:w="9855"/>
      </w:tblGrid>
      <w:tr w:rsidR="000C5D20" w:rsidRPr="00B85F3A">
        <w:tc>
          <w:tcPr>
            <w:tcW w:w="9855" w:type="dxa"/>
          </w:tcPr>
          <w:p w:rsidR="000C5D20" w:rsidRPr="00B85F3A" w:rsidRDefault="000C5D20" w:rsidP="007E36E3">
            <w:pPr>
              <w:pBdr>
                <w:top w:val="single" w:sz="2" w:space="0" w:color="FFFFFF"/>
                <w:left w:val="single" w:sz="2" w:space="0" w:color="FFFFFF"/>
                <w:bottom w:val="single" w:sz="2" w:space="2" w:color="FFFFFF"/>
                <w:right w:val="single" w:sz="2" w:space="4" w:color="FFFFFF"/>
              </w:pBdr>
              <w:tabs>
                <w:tab w:val="left" w:pos="567"/>
              </w:tabs>
              <w:spacing w:after="120"/>
              <w:rPr>
                <w:b/>
                <w:caps/>
                <w:sz w:val="22"/>
              </w:rPr>
            </w:pPr>
            <w:r w:rsidRPr="00B85F3A">
              <w:rPr>
                <w:b/>
                <w:caps/>
                <w:sz w:val="22"/>
              </w:rPr>
              <w:t>PURPOSE OF REPORT</w:t>
            </w:r>
          </w:p>
        </w:tc>
      </w:tr>
      <w:tr w:rsidR="000C5D20" w:rsidRPr="00B85F3A">
        <w:tc>
          <w:tcPr>
            <w:tcW w:w="9855" w:type="dxa"/>
          </w:tcPr>
          <w:p w:rsidR="000C5D20" w:rsidRPr="00F95442" w:rsidRDefault="00F95442" w:rsidP="00F95442">
            <w:pPr>
              <w:numPr>
                <w:ilvl w:val="0"/>
                <w:numId w:val="6"/>
              </w:numPr>
              <w:pBdr>
                <w:top w:val="single" w:sz="2" w:space="0" w:color="FFFFFF"/>
                <w:left w:val="single" w:sz="2" w:space="0" w:color="FFFFFF"/>
                <w:bottom w:val="single" w:sz="2" w:space="2" w:color="FFFFFF"/>
                <w:right w:val="single" w:sz="2" w:space="4" w:color="FFFFFF"/>
              </w:pBdr>
              <w:ind w:right="141"/>
              <w:rPr>
                <w:rFonts w:cs="Arial"/>
                <w:sz w:val="22"/>
                <w:szCs w:val="22"/>
                <w:lang w:eastAsia="en-GB"/>
              </w:rPr>
            </w:pPr>
            <w:r>
              <w:rPr>
                <w:sz w:val="22"/>
              </w:rPr>
              <w:t xml:space="preserve">To update Members on the </w:t>
            </w:r>
            <w:r w:rsidR="00454F7D">
              <w:rPr>
                <w:sz w:val="22"/>
              </w:rPr>
              <w:t>findings of the Central Lancashire Employment Land Study 2017</w:t>
            </w:r>
            <w:r w:rsidR="00F67FFC">
              <w:rPr>
                <w:sz w:val="22"/>
              </w:rPr>
              <w:t>.</w:t>
            </w:r>
          </w:p>
          <w:p w:rsidR="000C5D20" w:rsidRPr="00B85F3A" w:rsidRDefault="000C5D20" w:rsidP="007E36E3">
            <w:pPr>
              <w:pBdr>
                <w:top w:val="single" w:sz="2" w:space="0" w:color="FFFFFF"/>
                <w:left w:val="single" w:sz="2" w:space="0" w:color="FFFFFF"/>
                <w:bottom w:val="single" w:sz="2" w:space="2" w:color="FFFFFF"/>
                <w:right w:val="single" w:sz="2" w:space="4" w:color="FFFFFF"/>
              </w:pBdr>
              <w:tabs>
                <w:tab w:val="left" w:pos="567"/>
                <w:tab w:val="left" w:pos="709"/>
              </w:tabs>
              <w:rPr>
                <w:sz w:val="22"/>
              </w:rPr>
            </w:pPr>
          </w:p>
        </w:tc>
      </w:tr>
      <w:tr w:rsidR="000C5D20" w:rsidRPr="00B85F3A">
        <w:tc>
          <w:tcPr>
            <w:tcW w:w="9855" w:type="dxa"/>
          </w:tcPr>
          <w:p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spacing w:after="120"/>
              <w:rPr>
                <w:sz w:val="22"/>
              </w:rPr>
            </w:pPr>
            <w:r w:rsidRPr="00B85F3A">
              <w:rPr>
                <w:b/>
                <w:sz w:val="22"/>
              </w:rPr>
              <w:t>RECOMMENDATION(S)</w:t>
            </w:r>
          </w:p>
        </w:tc>
      </w:tr>
      <w:tr w:rsidR="000C5D20" w:rsidRPr="00B85F3A">
        <w:tc>
          <w:tcPr>
            <w:tcW w:w="9855" w:type="dxa"/>
          </w:tcPr>
          <w:p w:rsidR="000C5D20" w:rsidRPr="002E0342" w:rsidRDefault="00A60CFA" w:rsidP="00A60CFA">
            <w:pPr>
              <w:numPr>
                <w:ilvl w:val="0"/>
                <w:numId w:val="6"/>
              </w:numPr>
              <w:pBdr>
                <w:top w:val="single" w:sz="2" w:space="1" w:color="FFFFFF"/>
                <w:left w:val="single" w:sz="2" w:space="0" w:color="FFFFFF"/>
                <w:bottom w:val="single" w:sz="2" w:space="2" w:color="FFFFFF"/>
                <w:right w:val="single" w:sz="2" w:space="4" w:color="FFFFFF"/>
              </w:pBdr>
              <w:rPr>
                <w:sz w:val="22"/>
                <w:szCs w:val="22"/>
              </w:rPr>
            </w:pPr>
            <w:r w:rsidRPr="002E0342">
              <w:rPr>
                <w:sz w:val="22"/>
                <w:szCs w:val="22"/>
              </w:rPr>
              <w:t>That the report be noted</w:t>
            </w:r>
            <w:r w:rsidR="00321689">
              <w:rPr>
                <w:sz w:val="22"/>
                <w:szCs w:val="22"/>
              </w:rPr>
              <w:t>.</w:t>
            </w:r>
          </w:p>
          <w:p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s>
              <w:rPr>
                <w:sz w:val="22"/>
              </w:rPr>
            </w:pPr>
          </w:p>
        </w:tc>
      </w:tr>
    </w:tbl>
    <w:p w:rsidR="000C5D20" w:rsidRPr="00B85F3A" w:rsidRDefault="000C5D20" w:rsidP="007E36E3">
      <w:pPr>
        <w:pStyle w:val="Heading7"/>
        <w:tabs>
          <w:tab w:val="left" w:pos="567"/>
        </w:tabs>
        <w:spacing w:after="120"/>
        <w:ind w:left="0" w:right="0" w:firstLine="0"/>
      </w:pPr>
      <w:r w:rsidRPr="00B85F3A">
        <w:t>EXECUTIVE SUMMARY OF REPORT</w:t>
      </w:r>
    </w:p>
    <w:p w:rsidR="00454F7D" w:rsidRPr="00B85F3A" w:rsidRDefault="00454F7D" w:rsidP="00454F7D">
      <w:pPr>
        <w:numPr>
          <w:ilvl w:val="0"/>
          <w:numId w:val="6"/>
        </w:numPr>
        <w:pBdr>
          <w:top w:val="single" w:sz="2" w:space="1" w:color="FFFFFF"/>
          <w:left w:val="single" w:sz="2" w:space="0" w:color="FFFFFF"/>
          <w:bottom w:val="single" w:sz="2" w:space="2" w:color="FFFFFF"/>
          <w:right w:val="single" w:sz="2" w:space="4" w:color="FFFFFF"/>
        </w:pBdr>
        <w:tabs>
          <w:tab w:val="left" w:pos="567"/>
        </w:tabs>
        <w:ind w:left="0" w:firstLine="0"/>
        <w:rPr>
          <w:sz w:val="22"/>
        </w:rPr>
      </w:pPr>
      <w:r>
        <w:rPr>
          <w:sz w:val="22"/>
        </w:rPr>
        <w:t xml:space="preserve">The Central Lancashire Employment Land </w:t>
      </w:r>
      <w:r w:rsidR="00270CBC">
        <w:rPr>
          <w:sz w:val="22"/>
        </w:rPr>
        <w:t>Study</w:t>
      </w:r>
      <w:r>
        <w:rPr>
          <w:sz w:val="22"/>
        </w:rPr>
        <w:t xml:space="preserve"> has been carried out to provide a </w:t>
      </w:r>
      <w:r>
        <w:rPr>
          <w:sz w:val="22"/>
        </w:rPr>
        <w:tab/>
        <w:t xml:space="preserve">common evidence base for all three local authorities on employment matters to compliment </w:t>
      </w:r>
      <w:r>
        <w:rPr>
          <w:sz w:val="22"/>
        </w:rPr>
        <w:tab/>
        <w:t xml:space="preserve">the Central Lancashire Strategic Housing Market Area Assessment and meet the </w:t>
      </w:r>
      <w:r>
        <w:rPr>
          <w:sz w:val="22"/>
        </w:rPr>
        <w:tab/>
        <w:t xml:space="preserve">requirements of the National Planning Policy Framework and Planning Practice Guidance. </w:t>
      </w:r>
      <w:r>
        <w:rPr>
          <w:sz w:val="22"/>
        </w:rPr>
        <w:tab/>
        <w:t xml:space="preserve">The evidence will be used to </w:t>
      </w:r>
      <w:r w:rsidR="00E24B53">
        <w:rPr>
          <w:sz w:val="22"/>
        </w:rPr>
        <w:t>review</w:t>
      </w:r>
      <w:r w:rsidR="00D35270">
        <w:rPr>
          <w:sz w:val="22"/>
        </w:rPr>
        <w:t xml:space="preserve"> Central Lancashire Core Strategy </w:t>
      </w:r>
      <w:r w:rsidR="00E24B53">
        <w:rPr>
          <w:sz w:val="22"/>
        </w:rPr>
        <w:t xml:space="preserve">employment policies </w:t>
      </w:r>
      <w:r w:rsidR="00E24B53">
        <w:rPr>
          <w:sz w:val="22"/>
        </w:rPr>
        <w:tab/>
        <w:t xml:space="preserve">and employment </w:t>
      </w:r>
      <w:r w:rsidR="00E24B53">
        <w:rPr>
          <w:sz w:val="22"/>
        </w:rPr>
        <w:tab/>
      </w:r>
      <w:r w:rsidR="00D35270">
        <w:rPr>
          <w:sz w:val="22"/>
        </w:rPr>
        <w:t>site allocations.</w:t>
      </w:r>
      <w:r>
        <w:rPr>
          <w:sz w:val="22"/>
        </w:rPr>
        <w:t xml:space="preserve"> </w:t>
      </w:r>
    </w:p>
    <w:p w:rsidR="00D0204B" w:rsidRDefault="00D0204B"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caps/>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B931AE" w:rsidTr="00B931AE">
        <w:tc>
          <w:tcPr>
            <w:tcW w:w="3211" w:type="dxa"/>
            <w:tcBorders>
              <w:top w:val="single" w:sz="4" w:space="0" w:color="auto"/>
              <w:left w:val="single" w:sz="4" w:space="0" w:color="auto"/>
              <w:bottom w:val="single" w:sz="4" w:space="0" w:color="auto"/>
              <w:right w:val="single" w:sz="4" w:space="0" w:color="auto"/>
            </w:tcBorders>
            <w:hideMark/>
          </w:tcPr>
          <w:p w:rsidR="00B931AE" w:rsidRDefault="00B931AE">
            <w:pPr>
              <w:tabs>
                <w:tab w:val="left" w:pos="567"/>
              </w:tabs>
              <w:rPr>
                <w:b/>
                <w:sz w:val="22"/>
              </w:rPr>
            </w:pPr>
            <w:r>
              <w:rPr>
                <w:b/>
                <w:sz w:val="22"/>
              </w:rPr>
              <w:t>Confidential report</w:t>
            </w:r>
          </w:p>
          <w:p w:rsidR="00B931AE" w:rsidRDefault="00B931AE">
            <w:pPr>
              <w:tabs>
                <w:tab w:val="left" w:pos="567"/>
              </w:tabs>
              <w:rPr>
                <w:b/>
                <w:sz w:val="22"/>
              </w:rPr>
            </w:pPr>
            <w:r>
              <w:rPr>
                <w:sz w:val="22"/>
              </w:rPr>
              <w:t>Please bold as appropriate</w:t>
            </w:r>
          </w:p>
        </w:tc>
        <w:tc>
          <w:tcPr>
            <w:tcW w:w="3211" w:type="dxa"/>
            <w:tcBorders>
              <w:top w:val="single" w:sz="4" w:space="0" w:color="auto"/>
              <w:left w:val="single" w:sz="4" w:space="0" w:color="auto"/>
              <w:bottom w:val="single" w:sz="4" w:space="0" w:color="auto"/>
              <w:right w:val="single" w:sz="4" w:space="0" w:color="auto"/>
            </w:tcBorders>
            <w:hideMark/>
          </w:tcPr>
          <w:p w:rsidR="00B931AE" w:rsidRDefault="00B931AE">
            <w:pPr>
              <w:tabs>
                <w:tab w:val="left" w:pos="567"/>
              </w:tabs>
              <w:rPr>
                <w:sz w:val="22"/>
              </w:rPr>
            </w:pPr>
            <w:r>
              <w:rPr>
                <w:sz w:val="22"/>
              </w:rPr>
              <w:t xml:space="preserve">Yes </w:t>
            </w:r>
          </w:p>
        </w:tc>
        <w:tc>
          <w:tcPr>
            <w:tcW w:w="3212" w:type="dxa"/>
            <w:tcBorders>
              <w:top w:val="single" w:sz="4" w:space="0" w:color="auto"/>
              <w:left w:val="single" w:sz="4" w:space="0" w:color="auto"/>
              <w:bottom w:val="single" w:sz="4" w:space="0" w:color="auto"/>
              <w:right w:val="single" w:sz="4" w:space="0" w:color="auto"/>
            </w:tcBorders>
            <w:hideMark/>
          </w:tcPr>
          <w:p w:rsidR="00B931AE" w:rsidRPr="00A60CFA" w:rsidRDefault="00B931AE">
            <w:pPr>
              <w:tabs>
                <w:tab w:val="left" w:pos="567"/>
              </w:tabs>
              <w:rPr>
                <w:b/>
                <w:sz w:val="22"/>
              </w:rPr>
            </w:pPr>
            <w:r w:rsidRPr="00A60CFA">
              <w:rPr>
                <w:b/>
                <w:sz w:val="22"/>
              </w:rPr>
              <w:t>No</w:t>
            </w:r>
          </w:p>
        </w:tc>
      </w:tr>
    </w:tbl>
    <w:p w:rsidR="00B931AE" w:rsidRPr="00D0204B" w:rsidRDefault="00B931AE"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caps/>
          <w:sz w:val="22"/>
        </w:rPr>
      </w:pPr>
    </w:p>
    <w:p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caps/>
          <w:sz w:val="22"/>
        </w:rPr>
      </w:pPr>
      <w:r w:rsidRPr="00B85F3A">
        <w:rPr>
          <w:b/>
          <w:caps/>
          <w:sz w:val="22"/>
        </w:rPr>
        <w:t>CORPORATE PRIORITIES</w:t>
      </w:r>
    </w:p>
    <w:p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sz w:val="22"/>
        </w:rPr>
      </w:pPr>
    </w:p>
    <w:p w:rsidR="000C5D20" w:rsidRPr="00B85F3A" w:rsidRDefault="000C5D20" w:rsidP="007E36E3">
      <w:pPr>
        <w:numPr>
          <w:ilvl w:val="0"/>
          <w:numId w:val="6"/>
        </w:numPr>
        <w:pBdr>
          <w:top w:val="single" w:sz="2" w:space="1" w:color="FFFFFF"/>
          <w:left w:val="single" w:sz="2" w:space="0" w:color="FFFFFF"/>
          <w:bottom w:val="single" w:sz="2" w:space="2" w:color="FFFFFF"/>
          <w:right w:val="single" w:sz="2" w:space="4" w:color="FFFFFF"/>
        </w:pBdr>
        <w:tabs>
          <w:tab w:val="left" w:pos="567"/>
        </w:tabs>
        <w:ind w:right="141"/>
        <w:rPr>
          <w:sz w:val="22"/>
        </w:rPr>
      </w:pPr>
      <w:r w:rsidRPr="00B85F3A">
        <w:rPr>
          <w:sz w:val="22"/>
        </w:rPr>
        <w:t>This report relates to the following Strategic Objectives:</w:t>
      </w:r>
    </w:p>
    <w:p w:rsidR="0008391D" w:rsidRPr="00B85F3A" w:rsidRDefault="0008391D" w:rsidP="0008391D">
      <w:pPr>
        <w:pBdr>
          <w:top w:val="single" w:sz="2" w:space="1" w:color="FFFFFF"/>
          <w:left w:val="single" w:sz="2" w:space="0" w:color="FFFFFF"/>
          <w:bottom w:val="single" w:sz="2" w:space="2" w:color="FFFFFF"/>
          <w:right w:val="single" w:sz="2" w:space="4" w:color="FFFFFF"/>
        </w:pBdr>
        <w:ind w:right="141"/>
        <w:rPr>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67"/>
        <w:gridCol w:w="3827"/>
        <w:gridCol w:w="567"/>
      </w:tblGrid>
      <w:tr w:rsidR="000C5D20" w:rsidRPr="00B85F3A" w:rsidTr="001A27DF">
        <w:tc>
          <w:tcPr>
            <w:tcW w:w="4678" w:type="dxa"/>
          </w:tcPr>
          <w:p w:rsidR="000C5D20" w:rsidRPr="00B85F3A" w:rsidRDefault="001A27DF" w:rsidP="007E36E3">
            <w:pPr>
              <w:tabs>
                <w:tab w:val="left" w:pos="567"/>
              </w:tabs>
              <w:rPr>
                <w:sz w:val="22"/>
              </w:rPr>
            </w:pPr>
            <w:r>
              <w:rPr>
                <w:rFonts w:cs="Arial"/>
                <w:sz w:val="22"/>
                <w:szCs w:val="22"/>
                <w:lang w:eastAsia="en-GB"/>
              </w:rPr>
              <w:t>Involving residents in improving their local area and equality of access for all</w:t>
            </w:r>
          </w:p>
        </w:tc>
        <w:tc>
          <w:tcPr>
            <w:tcW w:w="567" w:type="dxa"/>
          </w:tcPr>
          <w:p w:rsidR="000C5D20" w:rsidRPr="00B85F3A" w:rsidRDefault="00A60CFA" w:rsidP="007E36E3">
            <w:pPr>
              <w:tabs>
                <w:tab w:val="left" w:pos="567"/>
              </w:tabs>
              <w:rPr>
                <w:sz w:val="22"/>
              </w:rPr>
            </w:pPr>
            <w:r>
              <w:rPr>
                <w:sz w:val="22"/>
              </w:rPr>
              <w:t>X</w:t>
            </w:r>
          </w:p>
        </w:tc>
        <w:tc>
          <w:tcPr>
            <w:tcW w:w="3827" w:type="dxa"/>
          </w:tcPr>
          <w:p w:rsidR="000C5D20" w:rsidRPr="00B85F3A" w:rsidRDefault="001A27DF" w:rsidP="007E36E3">
            <w:pPr>
              <w:tabs>
                <w:tab w:val="left" w:pos="567"/>
              </w:tabs>
              <w:rPr>
                <w:sz w:val="22"/>
              </w:rPr>
            </w:pPr>
            <w:r>
              <w:rPr>
                <w:rFonts w:cs="Arial"/>
                <w:sz w:val="22"/>
                <w:szCs w:val="22"/>
                <w:lang w:eastAsia="en-GB"/>
              </w:rPr>
              <w:t>A strong local economy</w:t>
            </w:r>
          </w:p>
        </w:tc>
        <w:tc>
          <w:tcPr>
            <w:tcW w:w="567" w:type="dxa"/>
          </w:tcPr>
          <w:p w:rsidR="000C5D20" w:rsidRPr="00B85F3A" w:rsidRDefault="00A60CFA" w:rsidP="007E36E3">
            <w:pPr>
              <w:tabs>
                <w:tab w:val="left" w:pos="567"/>
              </w:tabs>
              <w:rPr>
                <w:sz w:val="22"/>
              </w:rPr>
            </w:pPr>
            <w:r>
              <w:rPr>
                <w:sz w:val="22"/>
              </w:rPr>
              <w:t>X</w:t>
            </w:r>
          </w:p>
        </w:tc>
      </w:tr>
      <w:tr w:rsidR="000C5D20" w:rsidRPr="00B85F3A" w:rsidTr="001A27DF">
        <w:tc>
          <w:tcPr>
            <w:tcW w:w="4678" w:type="dxa"/>
          </w:tcPr>
          <w:p w:rsidR="000C5D20" w:rsidRPr="00B85F3A" w:rsidRDefault="001A27DF" w:rsidP="007E36E3">
            <w:pPr>
              <w:tabs>
                <w:tab w:val="left" w:pos="567"/>
              </w:tabs>
              <w:rPr>
                <w:sz w:val="22"/>
              </w:rPr>
            </w:pPr>
            <w:r>
              <w:rPr>
                <w:rFonts w:cs="Arial"/>
                <w:sz w:val="22"/>
                <w:szCs w:val="22"/>
                <w:lang w:eastAsia="en-GB"/>
              </w:rPr>
              <w:t>Clean, safe and healthy communities</w:t>
            </w:r>
          </w:p>
        </w:tc>
        <w:tc>
          <w:tcPr>
            <w:tcW w:w="567" w:type="dxa"/>
          </w:tcPr>
          <w:p w:rsidR="000C5D20" w:rsidRPr="00B85F3A" w:rsidRDefault="00A60CFA" w:rsidP="007E36E3">
            <w:pPr>
              <w:tabs>
                <w:tab w:val="left" w:pos="567"/>
              </w:tabs>
              <w:rPr>
                <w:sz w:val="22"/>
              </w:rPr>
            </w:pPr>
            <w:r>
              <w:rPr>
                <w:sz w:val="22"/>
              </w:rPr>
              <w:t>X</w:t>
            </w:r>
          </w:p>
        </w:tc>
        <w:tc>
          <w:tcPr>
            <w:tcW w:w="3827" w:type="dxa"/>
          </w:tcPr>
          <w:p w:rsidR="000C5D20" w:rsidRPr="00B85F3A" w:rsidRDefault="001A27DF" w:rsidP="001A27DF">
            <w:pPr>
              <w:autoSpaceDE w:val="0"/>
              <w:autoSpaceDN w:val="0"/>
              <w:adjustRightInd w:val="0"/>
              <w:jc w:val="left"/>
              <w:rPr>
                <w:sz w:val="22"/>
              </w:rPr>
            </w:pPr>
            <w:r>
              <w:rPr>
                <w:rFonts w:cs="Arial"/>
                <w:sz w:val="22"/>
                <w:szCs w:val="22"/>
                <w:lang w:eastAsia="en-GB"/>
              </w:rPr>
              <w:t>An ambitious council that does more to meet the needs of residents and the local area</w:t>
            </w:r>
          </w:p>
        </w:tc>
        <w:tc>
          <w:tcPr>
            <w:tcW w:w="567" w:type="dxa"/>
          </w:tcPr>
          <w:p w:rsidR="000C5D20" w:rsidRPr="00B85F3A" w:rsidRDefault="00A60CFA" w:rsidP="007E36E3">
            <w:pPr>
              <w:tabs>
                <w:tab w:val="left" w:pos="567"/>
              </w:tabs>
              <w:rPr>
                <w:sz w:val="22"/>
              </w:rPr>
            </w:pPr>
            <w:r>
              <w:rPr>
                <w:sz w:val="22"/>
              </w:rPr>
              <w:t>X</w:t>
            </w:r>
          </w:p>
        </w:tc>
      </w:tr>
    </w:tbl>
    <w:p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567"/>
          <w:tab w:val="left" w:pos="709"/>
        </w:tabs>
        <w:ind w:right="141"/>
        <w:rPr>
          <w:b/>
          <w:iCs/>
          <w:strike/>
          <w:sz w:val="22"/>
        </w:rPr>
      </w:pPr>
    </w:p>
    <w:p w:rsidR="00A60CFA" w:rsidRPr="00793949" w:rsidRDefault="00A60CFA" w:rsidP="00A60CFA">
      <w:pPr>
        <w:pBdr>
          <w:top w:val="single" w:sz="2" w:space="0" w:color="FFFFFF"/>
          <w:left w:val="single" w:sz="2" w:space="0" w:color="FFFFFF"/>
          <w:bottom w:val="single" w:sz="2" w:space="2" w:color="FFFFFF"/>
          <w:right w:val="single" w:sz="2" w:space="4" w:color="FFFFFF"/>
        </w:pBdr>
        <w:tabs>
          <w:tab w:val="left" w:pos="567"/>
        </w:tabs>
        <w:ind w:right="141"/>
        <w:rPr>
          <w:rFonts w:cs="Arial"/>
          <w:b/>
          <w:caps/>
          <w:sz w:val="22"/>
          <w:szCs w:val="22"/>
        </w:rPr>
      </w:pPr>
      <w:r w:rsidRPr="00793949">
        <w:rPr>
          <w:rFonts w:cs="Arial"/>
          <w:b/>
          <w:caps/>
          <w:sz w:val="22"/>
          <w:szCs w:val="22"/>
        </w:rPr>
        <w:t>background</w:t>
      </w:r>
    </w:p>
    <w:p w:rsidR="00454F7D" w:rsidRPr="00454F7D" w:rsidRDefault="00454F7D" w:rsidP="00454F7D">
      <w:pPr>
        <w:pStyle w:val="ListParagraph"/>
        <w:widowControl w:val="0"/>
        <w:numPr>
          <w:ilvl w:val="0"/>
          <w:numId w:val="6"/>
        </w:numPr>
        <w:adjustRightInd w:val="0"/>
        <w:spacing w:line="280" w:lineRule="atLeast"/>
        <w:contextualSpacing/>
        <w:textAlignment w:val="baseline"/>
        <w:rPr>
          <w:rFonts w:cs="Arial"/>
          <w:sz w:val="22"/>
          <w:szCs w:val="22"/>
        </w:rPr>
      </w:pPr>
      <w:r w:rsidRPr="00454F7D">
        <w:rPr>
          <w:rFonts w:cs="Arial"/>
          <w:sz w:val="22"/>
          <w:szCs w:val="22"/>
        </w:rPr>
        <w:t xml:space="preserve">The Central Lancashire Employment Land Study is required to </w:t>
      </w:r>
      <w:bookmarkStart w:id="0" w:name="_Hlk492455587"/>
      <w:r w:rsidRPr="00454F7D">
        <w:rPr>
          <w:rFonts w:cs="Arial"/>
          <w:sz w:val="22"/>
          <w:szCs w:val="22"/>
        </w:rPr>
        <w:t xml:space="preserve">provide a common evidence base for all three local authorities on employment matters, to </w:t>
      </w:r>
      <w:bookmarkStart w:id="1" w:name="_Hlk490234745"/>
      <w:r w:rsidRPr="00454F7D">
        <w:rPr>
          <w:rFonts w:cs="Arial"/>
          <w:sz w:val="22"/>
          <w:szCs w:val="22"/>
        </w:rPr>
        <w:t>compliment the Central Lancashire Strategic Housing Market Area Assessment</w:t>
      </w:r>
      <w:bookmarkEnd w:id="1"/>
      <w:r w:rsidRPr="00454F7D">
        <w:rPr>
          <w:rFonts w:cs="Arial"/>
          <w:sz w:val="22"/>
          <w:szCs w:val="22"/>
        </w:rPr>
        <w:t xml:space="preserve">. The evidence will be used to support the </w:t>
      </w:r>
      <w:r w:rsidR="00D35270">
        <w:rPr>
          <w:rFonts w:cs="Arial"/>
          <w:sz w:val="22"/>
          <w:szCs w:val="22"/>
        </w:rPr>
        <w:t>Review of the Central Lancashire Core Strategy and site allocations.</w:t>
      </w:r>
    </w:p>
    <w:bookmarkEnd w:id="0"/>
    <w:p w:rsidR="00EC6B59" w:rsidRDefault="00EC6B59" w:rsidP="00454F7D">
      <w:pPr>
        <w:pStyle w:val="Default"/>
        <w:pBdr>
          <w:top w:val="single" w:sz="2" w:space="1" w:color="FFFFFF"/>
          <w:left w:val="single" w:sz="2" w:space="0" w:color="FFFFFF"/>
          <w:bottom w:val="single" w:sz="2" w:space="0" w:color="FFFFFF"/>
          <w:right w:val="single" w:sz="2" w:space="4" w:color="FFFFFF"/>
        </w:pBdr>
        <w:tabs>
          <w:tab w:val="left" w:pos="709"/>
        </w:tabs>
        <w:spacing w:line="280" w:lineRule="atLeast"/>
        <w:ind w:left="567" w:hanging="567"/>
        <w:jc w:val="both"/>
        <w:rPr>
          <w:rFonts w:ascii="Arial" w:hAnsi="Arial" w:cs="Arial"/>
          <w:sz w:val="22"/>
          <w:szCs w:val="22"/>
        </w:rPr>
      </w:pPr>
    </w:p>
    <w:p w:rsidR="00454F7D" w:rsidRPr="00454F7D" w:rsidRDefault="00454F7D" w:rsidP="00454F7D">
      <w:pPr>
        <w:widowControl w:val="0"/>
        <w:numPr>
          <w:ilvl w:val="0"/>
          <w:numId w:val="6"/>
        </w:numPr>
        <w:adjustRightInd w:val="0"/>
        <w:spacing w:line="280" w:lineRule="atLeast"/>
        <w:textAlignment w:val="baseline"/>
        <w:rPr>
          <w:rFonts w:cs="Arial"/>
          <w:sz w:val="22"/>
          <w:szCs w:val="22"/>
        </w:rPr>
      </w:pPr>
      <w:r w:rsidRPr="00454F7D">
        <w:rPr>
          <w:rFonts w:cs="Arial"/>
          <w:sz w:val="22"/>
          <w:szCs w:val="22"/>
        </w:rPr>
        <w:t>It meets the requirement, set out in paragraph 158 of the National Planning Policy Framework that: “</w:t>
      </w:r>
      <w:r w:rsidRPr="00454F7D">
        <w:rPr>
          <w:i/>
          <w:sz w:val="22"/>
          <w:szCs w:val="22"/>
        </w:rPr>
        <w:t xml:space="preserve">Each local planning authority should ensure that the Local Plan is based on </w:t>
      </w:r>
      <w:r w:rsidRPr="00454F7D">
        <w:rPr>
          <w:i/>
          <w:sz w:val="22"/>
          <w:szCs w:val="22"/>
        </w:rPr>
        <w:lastRenderedPageBreak/>
        <w:t>adequate, up-to-date and relevant evidence about the economic, social and environmental characteristics and prospects of the area. Local planning authorities should ensure that their assessment of and strategies for housing, employment and other uses are integrated, and that they take full account of relevant market and economic signals.”</w:t>
      </w:r>
    </w:p>
    <w:p w:rsidR="00454F7D" w:rsidRPr="00454F7D" w:rsidRDefault="00454F7D" w:rsidP="00454F7D">
      <w:pPr>
        <w:pStyle w:val="ListParagraph"/>
        <w:spacing w:line="280" w:lineRule="atLeast"/>
        <w:ind w:hanging="567"/>
        <w:rPr>
          <w:rFonts w:cs="Arial"/>
          <w:sz w:val="22"/>
          <w:szCs w:val="22"/>
        </w:rPr>
      </w:pPr>
    </w:p>
    <w:p w:rsidR="00454F7D" w:rsidRPr="00454F7D" w:rsidRDefault="00454F7D" w:rsidP="00454F7D">
      <w:pPr>
        <w:pStyle w:val="ListParagraph"/>
        <w:widowControl w:val="0"/>
        <w:numPr>
          <w:ilvl w:val="0"/>
          <w:numId w:val="6"/>
        </w:numPr>
        <w:adjustRightInd w:val="0"/>
        <w:spacing w:line="280" w:lineRule="atLeast"/>
        <w:contextualSpacing/>
        <w:textAlignment w:val="baseline"/>
        <w:rPr>
          <w:rFonts w:cs="Arial"/>
          <w:sz w:val="22"/>
          <w:szCs w:val="22"/>
        </w:rPr>
      </w:pPr>
      <w:r w:rsidRPr="00454F7D">
        <w:rPr>
          <w:rFonts w:cs="Arial"/>
          <w:sz w:val="22"/>
          <w:szCs w:val="22"/>
        </w:rPr>
        <w:t>BE Group, economic development and property consultants, compiled this report during February-</w:t>
      </w:r>
      <w:r>
        <w:rPr>
          <w:rFonts w:cs="Arial"/>
          <w:sz w:val="22"/>
          <w:szCs w:val="22"/>
        </w:rPr>
        <w:t>November</w:t>
      </w:r>
      <w:r w:rsidRPr="00454F7D">
        <w:rPr>
          <w:rFonts w:cs="Arial"/>
          <w:sz w:val="22"/>
          <w:szCs w:val="22"/>
        </w:rPr>
        <w:t xml:space="preserve"> 2017. The study updates and supersedes previous employment land evidence base documents for Central Lancashire, specifically the Chorley, Preston and South Ribble Employment Land Review to 2021 (2009). In the case of South Ribble, it compliments and updates the South Ribble Employment Land and Property Study, carried out on behalf of South Ribble Borough Council by BE Group in 2015.</w:t>
      </w:r>
    </w:p>
    <w:p w:rsidR="00454F7D" w:rsidRPr="00454F7D" w:rsidRDefault="00454F7D" w:rsidP="00454F7D">
      <w:pPr>
        <w:pStyle w:val="ListParagraph"/>
        <w:spacing w:line="280" w:lineRule="atLeast"/>
        <w:ind w:hanging="567"/>
        <w:rPr>
          <w:rFonts w:cs="Arial"/>
          <w:sz w:val="22"/>
          <w:szCs w:val="22"/>
        </w:rPr>
      </w:pPr>
    </w:p>
    <w:p w:rsidR="00454F7D" w:rsidRPr="00454F7D" w:rsidRDefault="00454F7D" w:rsidP="00454F7D">
      <w:pPr>
        <w:widowControl w:val="0"/>
        <w:numPr>
          <w:ilvl w:val="0"/>
          <w:numId w:val="6"/>
        </w:numPr>
        <w:adjustRightInd w:val="0"/>
        <w:spacing w:line="280" w:lineRule="atLeast"/>
        <w:textAlignment w:val="baseline"/>
        <w:rPr>
          <w:rFonts w:cs="Arial"/>
          <w:sz w:val="22"/>
          <w:szCs w:val="22"/>
        </w:rPr>
      </w:pPr>
      <w:r w:rsidRPr="00454F7D">
        <w:rPr>
          <w:rFonts w:cs="Arial"/>
          <w:sz w:val="22"/>
          <w:szCs w:val="22"/>
        </w:rPr>
        <w:t>Research methods used include site visits, face-to-face and telephone interviews with property market stakeholders such as developers, investors and their agents.  Consultations were undertaken with the Sub-Region’s major developers/landowners, Parish/Town Councils and key public-sector agencies. A telephone survey of 850 local businesses was completed (300 each in Preston and South Ribble, 250 in Chorley) while 71 larger companies were approached for more detailed face-to-face discussions. Desktop analysis of national, sub-regional and local reports and strategies has been undertaken.</w:t>
      </w:r>
    </w:p>
    <w:p w:rsidR="00454F7D" w:rsidRPr="00454F7D" w:rsidRDefault="00454F7D" w:rsidP="00454F7D">
      <w:pPr>
        <w:autoSpaceDE w:val="0"/>
        <w:autoSpaceDN w:val="0"/>
        <w:adjustRightInd w:val="0"/>
        <w:rPr>
          <w:rFonts w:cs="Arial"/>
          <w:b/>
          <w:sz w:val="22"/>
          <w:szCs w:val="22"/>
          <w:lang w:eastAsia="en-GB"/>
        </w:rPr>
      </w:pPr>
    </w:p>
    <w:p w:rsidR="00454F7D" w:rsidRDefault="00454F7D" w:rsidP="00F95442">
      <w:pPr>
        <w:autoSpaceDE w:val="0"/>
        <w:autoSpaceDN w:val="0"/>
        <w:adjustRightInd w:val="0"/>
        <w:spacing w:line="280" w:lineRule="atLeast"/>
        <w:rPr>
          <w:rFonts w:cs="Arial"/>
          <w:b/>
          <w:sz w:val="22"/>
          <w:szCs w:val="22"/>
          <w:lang w:eastAsia="en-GB"/>
        </w:rPr>
      </w:pPr>
    </w:p>
    <w:p w:rsidR="00454F7D" w:rsidRDefault="00454F7D" w:rsidP="00454F7D">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 w:val="22"/>
        </w:rPr>
      </w:pPr>
      <w:r>
        <w:rPr>
          <w:b/>
          <w:sz w:val="22"/>
        </w:rPr>
        <w:t>FINDINGS OF THE EMPLOYMENT LAND STUDY</w:t>
      </w:r>
    </w:p>
    <w:p w:rsidR="00454F7D" w:rsidRDefault="00454F7D" w:rsidP="00454F7D">
      <w:pPr>
        <w:pBdr>
          <w:top w:val="single" w:sz="2" w:space="1" w:color="FFFFFF"/>
          <w:left w:val="single" w:sz="2" w:space="0" w:color="FFFFFF"/>
          <w:bottom w:val="single" w:sz="2" w:space="2" w:color="FFFFFF"/>
          <w:right w:val="single" w:sz="2" w:space="4" w:color="FFFFFF"/>
        </w:pBdr>
        <w:tabs>
          <w:tab w:val="left" w:pos="567"/>
          <w:tab w:val="left" w:pos="709"/>
        </w:tabs>
        <w:ind w:left="709" w:right="141" w:hanging="709"/>
        <w:rPr>
          <w:b/>
          <w:sz w:val="22"/>
        </w:rPr>
      </w:pPr>
    </w:p>
    <w:p w:rsidR="00454F7D" w:rsidRPr="00454F7D" w:rsidRDefault="00454F7D" w:rsidP="00454F7D">
      <w:pPr>
        <w:pStyle w:val="ListParagraph"/>
        <w:numPr>
          <w:ilvl w:val="0"/>
          <w:numId w:val="6"/>
        </w:numPr>
        <w:pBdr>
          <w:top w:val="single" w:sz="2" w:space="1" w:color="FFFFFF"/>
          <w:left w:val="single" w:sz="2" w:space="0" w:color="FFFFFF"/>
          <w:bottom w:val="single" w:sz="2" w:space="2" w:color="FFFFFF"/>
          <w:right w:val="single" w:sz="2" w:space="4" w:color="FFFFFF"/>
        </w:pBdr>
        <w:tabs>
          <w:tab w:val="left" w:pos="567"/>
          <w:tab w:val="left" w:pos="709"/>
        </w:tabs>
        <w:spacing w:line="280" w:lineRule="atLeast"/>
        <w:rPr>
          <w:b/>
          <w:sz w:val="22"/>
          <w:szCs w:val="22"/>
        </w:rPr>
      </w:pPr>
      <w:r w:rsidRPr="00454F7D">
        <w:rPr>
          <w:rFonts w:cs="Arial"/>
          <w:b/>
          <w:sz w:val="22"/>
          <w:szCs w:val="22"/>
        </w:rPr>
        <w:t xml:space="preserve">The Functional Economic Market Area (FEMA): </w:t>
      </w:r>
      <w:r w:rsidRPr="00454F7D">
        <w:rPr>
          <w:rFonts w:cs="Arial"/>
          <w:sz w:val="22"/>
          <w:szCs w:val="22"/>
        </w:rPr>
        <w:t>T</w:t>
      </w:r>
      <w:r w:rsidRPr="00454F7D">
        <w:rPr>
          <w:sz w:val="22"/>
          <w:szCs w:val="22"/>
        </w:rPr>
        <w:t xml:space="preserve">he FEMA for Central Lancashire includes the Fylde Coast local authority areas of Blackpool, Fylde and Wyre which have strong links to Preston via the M55/A583. In Pennine Lancashire, Blackburn with Darwen and Ribble Valley also fall within the economic catchment area of Preston. In the west, West Lancashire has strong connections to South Ribble via the M6/M58, A59 and comparable routes. Chorley has a pronounced relationship with its Greater Manchester neighbours of Bolton and Wigan as a net exporter of labour. </w:t>
      </w:r>
    </w:p>
    <w:p w:rsidR="00454F7D" w:rsidRPr="00454F7D" w:rsidRDefault="00454F7D" w:rsidP="00454F7D">
      <w:pPr>
        <w:pStyle w:val="ListParagraph"/>
        <w:pBdr>
          <w:top w:val="single" w:sz="2" w:space="1" w:color="FFFFFF"/>
          <w:left w:val="single" w:sz="2" w:space="0" w:color="FFFFFF"/>
          <w:bottom w:val="single" w:sz="2" w:space="2" w:color="FFFFFF"/>
          <w:right w:val="single" w:sz="2" w:space="4" w:color="FFFFFF"/>
        </w:pBdr>
        <w:tabs>
          <w:tab w:val="left" w:pos="709"/>
        </w:tabs>
        <w:spacing w:line="280" w:lineRule="atLeast"/>
        <w:ind w:left="1134" w:right="142" w:hanging="1134"/>
        <w:rPr>
          <w:b/>
          <w:sz w:val="22"/>
          <w:szCs w:val="22"/>
        </w:rPr>
      </w:pPr>
    </w:p>
    <w:p w:rsidR="00454F7D" w:rsidRPr="00454F7D" w:rsidRDefault="00454F7D" w:rsidP="00454F7D">
      <w:pPr>
        <w:pStyle w:val="ListParagraph"/>
        <w:numPr>
          <w:ilvl w:val="0"/>
          <w:numId w:val="6"/>
        </w:numPr>
        <w:pBdr>
          <w:top w:val="single" w:sz="2" w:space="1" w:color="FFFFFF"/>
          <w:left w:val="single" w:sz="2" w:space="0" w:color="FFFFFF"/>
          <w:bottom w:val="single" w:sz="2" w:space="2" w:color="FFFFFF"/>
          <w:right w:val="single" w:sz="2" w:space="4" w:color="FFFFFF"/>
        </w:pBdr>
        <w:tabs>
          <w:tab w:val="left" w:pos="567"/>
          <w:tab w:val="left" w:pos="709"/>
        </w:tabs>
        <w:spacing w:line="280" w:lineRule="atLeast"/>
        <w:ind w:right="142"/>
        <w:contextualSpacing/>
        <w:rPr>
          <w:b/>
          <w:sz w:val="22"/>
          <w:szCs w:val="22"/>
        </w:rPr>
      </w:pPr>
      <w:r w:rsidRPr="00454F7D">
        <w:rPr>
          <w:rFonts w:cs="Arial"/>
          <w:b/>
          <w:sz w:val="22"/>
          <w:szCs w:val="22"/>
        </w:rPr>
        <w:t xml:space="preserve">Growth Forecasts – Jobs: </w:t>
      </w:r>
      <w:r w:rsidRPr="00454F7D">
        <w:rPr>
          <w:sz w:val="22"/>
          <w:szCs w:val="22"/>
        </w:rPr>
        <w:t xml:space="preserve">Employment forecasts were prepared by Oxford Economics in July 2016. These forecasts projected employment by sector to 2034 for the three authority areas. Between 2014 and 2034, total employment in Central Lancashire is forecast to grow by 10,276 jobs, an average of 514 jobs per year. Over half of this jobs growth is anticipated to be in Chorley (+6,412 jobs), South Ribble </w:t>
      </w:r>
      <w:r w:rsidR="00900980">
        <w:rPr>
          <w:sz w:val="22"/>
          <w:szCs w:val="22"/>
        </w:rPr>
        <w:t>(+</w:t>
      </w:r>
      <w:r w:rsidRPr="00454F7D">
        <w:rPr>
          <w:sz w:val="22"/>
          <w:szCs w:val="22"/>
        </w:rPr>
        <w:t xml:space="preserve"> 4,671 jobs</w:t>
      </w:r>
      <w:r w:rsidR="00900980">
        <w:rPr>
          <w:sz w:val="22"/>
          <w:szCs w:val="22"/>
        </w:rPr>
        <w:t>)</w:t>
      </w:r>
      <w:r w:rsidRPr="00454F7D">
        <w:rPr>
          <w:sz w:val="22"/>
          <w:szCs w:val="22"/>
        </w:rPr>
        <w:t xml:space="preserve"> and Preston seeing an overall loss (-808 jobs). </w:t>
      </w:r>
    </w:p>
    <w:p w:rsidR="00454F7D" w:rsidRPr="002A3517" w:rsidRDefault="00454F7D" w:rsidP="00454F7D">
      <w:pPr>
        <w:autoSpaceDE w:val="0"/>
        <w:autoSpaceDN w:val="0"/>
        <w:adjustRightInd w:val="0"/>
        <w:spacing w:line="280" w:lineRule="atLeast"/>
        <w:ind w:left="567" w:hanging="567"/>
        <w:contextualSpacing/>
        <w:rPr>
          <w:rFonts w:cs="Arial"/>
          <w:sz w:val="20"/>
          <w:szCs w:val="22"/>
          <w:lang w:eastAsia="en-GB"/>
        </w:rPr>
      </w:pPr>
    </w:p>
    <w:p w:rsidR="00900980" w:rsidRPr="00900980" w:rsidRDefault="0000665C" w:rsidP="00900980">
      <w:pPr>
        <w:pStyle w:val="ListParagraph"/>
        <w:numPr>
          <w:ilvl w:val="0"/>
          <w:numId w:val="6"/>
        </w:numPr>
        <w:pBdr>
          <w:top w:val="single" w:sz="2" w:space="1" w:color="FFFFFF"/>
          <w:left w:val="single" w:sz="2" w:space="0" w:color="FFFFFF"/>
          <w:bottom w:val="single" w:sz="2" w:space="2" w:color="FFFFFF"/>
          <w:right w:val="single" w:sz="2" w:space="4" w:color="FFFFFF"/>
        </w:pBdr>
        <w:tabs>
          <w:tab w:val="left" w:pos="567"/>
          <w:tab w:val="left" w:pos="709"/>
        </w:tabs>
        <w:spacing w:line="280" w:lineRule="atLeast"/>
        <w:ind w:right="142"/>
        <w:contextualSpacing/>
        <w:rPr>
          <w:b/>
          <w:sz w:val="22"/>
          <w:szCs w:val="22"/>
        </w:rPr>
      </w:pPr>
      <w:r>
        <w:rPr>
          <w:sz w:val="22"/>
          <w:szCs w:val="22"/>
        </w:rPr>
        <w:t>Table 1 is focused on</w:t>
      </w:r>
      <w:r w:rsidRPr="00900980">
        <w:rPr>
          <w:sz w:val="22"/>
          <w:szCs w:val="22"/>
        </w:rPr>
        <w:t xml:space="preserve"> ‘policy-off’ forecasts that do not account for any public-sector plans or strategies for growth above the baseline. Forecast growth as shown in Table 1 is </w:t>
      </w:r>
      <w:r w:rsidR="00900980" w:rsidRPr="00900980">
        <w:rPr>
          <w:sz w:val="22"/>
          <w:szCs w:val="22"/>
        </w:rPr>
        <w:t>focused in Construction (primarily in South Ribble), health and administration/professional services. Growth in the latter service sectors is concentrated in Chorley and to a lesser degree Preston. All areas will see some declines in manufacturing employment, but the loss is sharpest in South Ribble.</w:t>
      </w:r>
    </w:p>
    <w:p w:rsidR="00900980" w:rsidRPr="00900980" w:rsidRDefault="00900980" w:rsidP="00900980">
      <w:pPr>
        <w:pStyle w:val="ListParagraph"/>
        <w:spacing w:line="280" w:lineRule="atLeast"/>
        <w:ind w:hanging="567"/>
        <w:rPr>
          <w:b/>
          <w:sz w:val="22"/>
          <w:szCs w:val="22"/>
        </w:rPr>
      </w:pPr>
    </w:p>
    <w:p w:rsidR="00900980" w:rsidRPr="006241BA" w:rsidRDefault="00900980" w:rsidP="001A6D0B">
      <w:pPr>
        <w:pStyle w:val="ListParagraph"/>
        <w:ind w:left="567"/>
        <w:rPr>
          <w:b/>
          <w:sz w:val="20"/>
        </w:rPr>
      </w:pPr>
      <w:r w:rsidRPr="006241BA">
        <w:rPr>
          <w:b/>
          <w:sz w:val="20"/>
        </w:rPr>
        <w:t xml:space="preserve">Table </w:t>
      </w:r>
      <w:r>
        <w:rPr>
          <w:b/>
          <w:sz w:val="20"/>
        </w:rPr>
        <w:t>1</w:t>
      </w:r>
      <w:r w:rsidRPr="006241BA">
        <w:rPr>
          <w:b/>
          <w:sz w:val="20"/>
        </w:rPr>
        <w:t xml:space="preserve"> – Key Jobs Change, by Sector</w:t>
      </w:r>
    </w:p>
    <w:tbl>
      <w:tblPr>
        <w:tblStyle w:val="TableGrid"/>
        <w:tblW w:w="8959" w:type="dxa"/>
        <w:tblInd w:w="675" w:type="dxa"/>
        <w:tblLook w:val="04A0" w:firstRow="1" w:lastRow="0" w:firstColumn="1" w:lastColumn="0" w:noHBand="0" w:noVBand="1"/>
      </w:tblPr>
      <w:tblGrid>
        <w:gridCol w:w="2106"/>
        <w:gridCol w:w="1603"/>
        <w:gridCol w:w="1603"/>
        <w:gridCol w:w="1628"/>
        <w:gridCol w:w="2019"/>
      </w:tblGrid>
      <w:tr w:rsidR="00900980" w:rsidTr="001A6D0B">
        <w:tc>
          <w:tcPr>
            <w:tcW w:w="1620" w:type="dxa"/>
            <w:vMerge w:val="restart"/>
            <w:shd w:val="clear" w:color="auto" w:fill="D9D9D9" w:themeFill="background1" w:themeFillShade="D9"/>
          </w:tcPr>
          <w:p w:rsidR="00900980" w:rsidRPr="00C608AF" w:rsidRDefault="00900980" w:rsidP="00900980">
            <w:pPr>
              <w:rPr>
                <w:b/>
                <w:sz w:val="20"/>
              </w:rPr>
            </w:pPr>
            <w:r w:rsidRPr="00C608AF">
              <w:rPr>
                <w:b/>
                <w:sz w:val="20"/>
              </w:rPr>
              <w:t>Premises Needed</w:t>
            </w:r>
          </w:p>
        </w:tc>
        <w:tc>
          <w:tcPr>
            <w:tcW w:w="7339" w:type="dxa"/>
            <w:gridSpan w:val="4"/>
            <w:shd w:val="clear" w:color="auto" w:fill="D9D9D9" w:themeFill="background1" w:themeFillShade="D9"/>
          </w:tcPr>
          <w:p w:rsidR="00900980" w:rsidRPr="00C608AF" w:rsidRDefault="00900980" w:rsidP="00900980">
            <w:pPr>
              <w:jc w:val="center"/>
              <w:rPr>
                <w:b/>
                <w:sz w:val="20"/>
              </w:rPr>
            </w:pPr>
            <w:r w:rsidRPr="00C608AF">
              <w:rPr>
                <w:b/>
                <w:sz w:val="20"/>
              </w:rPr>
              <w:t>Key Jobs Gain/Loss to 2034</w:t>
            </w:r>
          </w:p>
        </w:tc>
      </w:tr>
      <w:tr w:rsidR="00900980" w:rsidTr="001A6D0B">
        <w:tc>
          <w:tcPr>
            <w:tcW w:w="1620" w:type="dxa"/>
            <w:vMerge/>
            <w:shd w:val="clear" w:color="auto" w:fill="D9D9D9" w:themeFill="background1" w:themeFillShade="D9"/>
          </w:tcPr>
          <w:p w:rsidR="00900980" w:rsidRPr="00C608AF" w:rsidRDefault="00900980" w:rsidP="00900980">
            <w:pPr>
              <w:rPr>
                <w:b/>
                <w:sz w:val="20"/>
              </w:rPr>
            </w:pPr>
          </w:p>
        </w:tc>
        <w:tc>
          <w:tcPr>
            <w:tcW w:w="1680" w:type="dxa"/>
            <w:shd w:val="clear" w:color="auto" w:fill="D9D9D9" w:themeFill="background1" w:themeFillShade="D9"/>
          </w:tcPr>
          <w:p w:rsidR="00900980" w:rsidRPr="00C608AF" w:rsidRDefault="00900980" w:rsidP="00900980">
            <w:pPr>
              <w:rPr>
                <w:b/>
                <w:sz w:val="20"/>
              </w:rPr>
            </w:pPr>
            <w:r w:rsidRPr="00C608AF">
              <w:rPr>
                <w:b/>
                <w:sz w:val="20"/>
              </w:rPr>
              <w:t>Chorley</w:t>
            </w:r>
          </w:p>
        </w:tc>
        <w:tc>
          <w:tcPr>
            <w:tcW w:w="1680" w:type="dxa"/>
            <w:shd w:val="clear" w:color="auto" w:fill="D9D9D9" w:themeFill="background1" w:themeFillShade="D9"/>
          </w:tcPr>
          <w:p w:rsidR="00900980" w:rsidRPr="00C608AF" w:rsidRDefault="00900980" w:rsidP="00900980">
            <w:pPr>
              <w:rPr>
                <w:b/>
                <w:sz w:val="20"/>
              </w:rPr>
            </w:pPr>
            <w:r w:rsidRPr="00C608AF">
              <w:rPr>
                <w:b/>
                <w:sz w:val="20"/>
              </w:rPr>
              <w:t>Preston</w:t>
            </w:r>
          </w:p>
        </w:tc>
        <w:tc>
          <w:tcPr>
            <w:tcW w:w="1680" w:type="dxa"/>
            <w:shd w:val="clear" w:color="auto" w:fill="D9D9D9" w:themeFill="background1" w:themeFillShade="D9"/>
          </w:tcPr>
          <w:p w:rsidR="00900980" w:rsidRPr="00C608AF" w:rsidRDefault="00900980" w:rsidP="00900980">
            <w:pPr>
              <w:rPr>
                <w:b/>
                <w:sz w:val="20"/>
              </w:rPr>
            </w:pPr>
            <w:r w:rsidRPr="00C608AF">
              <w:rPr>
                <w:b/>
                <w:sz w:val="20"/>
              </w:rPr>
              <w:t>South Ribble</w:t>
            </w:r>
          </w:p>
        </w:tc>
        <w:tc>
          <w:tcPr>
            <w:tcW w:w="2299" w:type="dxa"/>
            <w:shd w:val="clear" w:color="auto" w:fill="D9D9D9" w:themeFill="background1" w:themeFillShade="D9"/>
          </w:tcPr>
          <w:p w:rsidR="00900980" w:rsidRPr="00C608AF" w:rsidRDefault="00900980" w:rsidP="00900980">
            <w:pPr>
              <w:rPr>
                <w:b/>
                <w:sz w:val="20"/>
              </w:rPr>
            </w:pPr>
            <w:r w:rsidRPr="00C608AF">
              <w:rPr>
                <w:b/>
                <w:sz w:val="20"/>
              </w:rPr>
              <w:t>Central Lancashire</w:t>
            </w:r>
          </w:p>
        </w:tc>
      </w:tr>
      <w:tr w:rsidR="00900980" w:rsidTr="001A6D0B">
        <w:tc>
          <w:tcPr>
            <w:tcW w:w="1620" w:type="dxa"/>
          </w:tcPr>
          <w:p w:rsidR="00900980" w:rsidRPr="00C608AF" w:rsidRDefault="00900980" w:rsidP="00900980">
            <w:pPr>
              <w:rPr>
                <w:sz w:val="20"/>
              </w:rPr>
            </w:pPr>
            <w:r w:rsidRPr="00C608AF">
              <w:rPr>
                <w:sz w:val="20"/>
              </w:rPr>
              <w:t>Industrial/Warehouse</w:t>
            </w:r>
          </w:p>
        </w:tc>
        <w:tc>
          <w:tcPr>
            <w:tcW w:w="1680" w:type="dxa"/>
          </w:tcPr>
          <w:p w:rsidR="00900980" w:rsidRPr="00C608AF" w:rsidRDefault="00900980" w:rsidP="00900980">
            <w:pPr>
              <w:rPr>
                <w:sz w:val="20"/>
              </w:rPr>
            </w:pPr>
            <w:r w:rsidRPr="00C608AF">
              <w:rPr>
                <w:sz w:val="20"/>
              </w:rPr>
              <w:t>-</w:t>
            </w:r>
          </w:p>
        </w:tc>
        <w:tc>
          <w:tcPr>
            <w:tcW w:w="1680" w:type="dxa"/>
          </w:tcPr>
          <w:p w:rsidR="00900980" w:rsidRPr="00C608AF" w:rsidRDefault="00900980" w:rsidP="00900980">
            <w:pPr>
              <w:rPr>
                <w:sz w:val="20"/>
              </w:rPr>
            </w:pPr>
            <w:r w:rsidRPr="00C608AF">
              <w:rPr>
                <w:sz w:val="20"/>
              </w:rPr>
              <w:t>Construction: +542</w:t>
            </w:r>
          </w:p>
          <w:p w:rsidR="00900980" w:rsidRPr="00C608AF" w:rsidRDefault="00900980" w:rsidP="00900980">
            <w:pPr>
              <w:rPr>
                <w:color w:val="FF0000"/>
                <w:sz w:val="20"/>
              </w:rPr>
            </w:pPr>
          </w:p>
        </w:tc>
        <w:tc>
          <w:tcPr>
            <w:tcW w:w="1680" w:type="dxa"/>
          </w:tcPr>
          <w:p w:rsidR="00900980" w:rsidRPr="00680A97" w:rsidRDefault="00900980" w:rsidP="00900980">
            <w:pPr>
              <w:rPr>
                <w:color w:val="000000" w:themeColor="text1"/>
                <w:sz w:val="20"/>
              </w:rPr>
            </w:pPr>
            <w:r w:rsidRPr="00680A97">
              <w:rPr>
                <w:color w:val="000000" w:themeColor="text1"/>
                <w:sz w:val="20"/>
              </w:rPr>
              <w:t>Construction: +3,027</w:t>
            </w:r>
          </w:p>
          <w:p w:rsidR="00900980" w:rsidRPr="00680A97" w:rsidRDefault="00900980" w:rsidP="00900980">
            <w:pPr>
              <w:rPr>
                <w:color w:val="000000" w:themeColor="text1"/>
                <w:sz w:val="20"/>
              </w:rPr>
            </w:pPr>
            <w:r w:rsidRPr="00680A97">
              <w:rPr>
                <w:color w:val="000000" w:themeColor="text1"/>
                <w:sz w:val="20"/>
              </w:rPr>
              <w:t xml:space="preserve">Manufacturing:                </w:t>
            </w:r>
          </w:p>
          <w:p w:rsidR="00900980" w:rsidRPr="00680A97" w:rsidRDefault="00900980" w:rsidP="00900980">
            <w:pPr>
              <w:rPr>
                <w:color w:val="000000" w:themeColor="text1"/>
                <w:sz w:val="20"/>
              </w:rPr>
            </w:pPr>
            <w:r w:rsidRPr="00680A97">
              <w:rPr>
                <w:color w:val="000000" w:themeColor="text1"/>
                <w:sz w:val="20"/>
              </w:rPr>
              <w:t>-1,457</w:t>
            </w:r>
          </w:p>
        </w:tc>
        <w:tc>
          <w:tcPr>
            <w:tcW w:w="2299" w:type="dxa"/>
          </w:tcPr>
          <w:p w:rsidR="00900980" w:rsidRPr="00680A97" w:rsidRDefault="00900980" w:rsidP="00900980">
            <w:pPr>
              <w:rPr>
                <w:color w:val="000000" w:themeColor="text1"/>
                <w:sz w:val="20"/>
              </w:rPr>
            </w:pPr>
            <w:r w:rsidRPr="00680A97">
              <w:rPr>
                <w:color w:val="000000" w:themeColor="text1"/>
                <w:sz w:val="20"/>
              </w:rPr>
              <w:t xml:space="preserve">Construction: +4,158 </w:t>
            </w:r>
          </w:p>
          <w:p w:rsidR="00900980" w:rsidRPr="00680A97" w:rsidRDefault="00900980" w:rsidP="00900980">
            <w:pPr>
              <w:rPr>
                <w:color w:val="000000" w:themeColor="text1"/>
                <w:sz w:val="20"/>
              </w:rPr>
            </w:pPr>
            <w:r w:rsidRPr="00680A97">
              <w:rPr>
                <w:color w:val="000000" w:themeColor="text1"/>
                <w:sz w:val="20"/>
              </w:rPr>
              <w:t xml:space="preserve">Manufacturing:                 -2,867 </w:t>
            </w:r>
          </w:p>
        </w:tc>
      </w:tr>
      <w:tr w:rsidR="00900980" w:rsidTr="001A6D0B">
        <w:tc>
          <w:tcPr>
            <w:tcW w:w="1620" w:type="dxa"/>
          </w:tcPr>
          <w:p w:rsidR="00900980" w:rsidRPr="00C608AF" w:rsidRDefault="00900980" w:rsidP="00900980">
            <w:pPr>
              <w:rPr>
                <w:sz w:val="20"/>
              </w:rPr>
            </w:pPr>
            <w:r w:rsidRPr="00C608AF">
              <w:rPr>
                <w:sz w:val="20"/>
              </w:rPr>
              <w:t>Office</w:t>
            </w:r>
          </w:p>
        </w:tc>
        <w:tc>
          <w:tcPr>
            <w:tcW w:w="1680" w:type="dxa"/>
          </w:tcPr>
          <w:p w:rsidR="00900980" w:rsidRPr="00C608AF" w:rsidRDefault="00900980" w:rsidP="00900980">
            <w:pPr>
              <w:rPr>
                <w:rFonts w:cs="Arial"/>
                <w:sz w:val="20"/>
              </w:rPr>
            </w:pPr>
            <w:r w:rsidRPr="00C608AF">
              <w:rPr>
                <w:sz w:val="20"/>
              </w:rPr>
              <w:t xml:space="preserve">Human health and social </w:t>
            </w:r>
            <w:r w:rsidRPr="00C608AF">
              <w:rPr>
                <w:sz w:val="20"/>
              </w:rPr>
              <w:lastRenderedPageBreak/>
              <w:t>work</w:t>
            </w:r>
            <w:r w:rsidRPr="00C608AF">
              <w:rPr>
                <w:rFonts w:cs="Arial"/>
                <w:sz w:val="20"/>
              </w:rPr>
              <w:t xml:space="preserve">: +2,142 </w:t>
            </w:r>
          </w:p>
          <w:p w:rsidR="00900980" w:rsidRPr="00C608AF" w:rsidRDefault="00900980" w:rsidP="00900980">
            <w:pPr>
              <w:rPr>
                <w:sz w:val="20"/>
              </w:rPr>
            </w:pPr>
            <w:r w:rsidRPr="00C608AF">
              <w:rPr>
                <w:sz w:val="20"/>
              </w:rPr>
              <w:t>Administrative and support services: +</w:t>
            </w:r>
            <w:r w:rsidRPr="00C608AF">
              <w:rPr>
                <w:rFonts w:cs="Arial"/>
                <w:color w:val="000000"/>
                <w:sz w:val="20"/>
              </w:rPr>
              <w:t>1,483</w:t>
            </w:r>
          </w:p>
          <w:p w:rsidR="00900980" w:rsidRPr="00C608AF" w:rsidRDefault="00900980" w:rsidP="00900980">
            <w:pPr>
              <w:rPr>
                <w:sz w:val="20"/>
              </w:rPr>
            </w:pPr>
            <w:r w:rsidRPr="00C608AF">
              <w:rPr>
                <w:sz w:val="20"/>
              </w:rPr>
              <w:t xml:space="preserve"> Professional, scientific and technical activities: +</w:t>
            </w:r>
            <w:r w:rsidRPr="00C608AF">
              <w:rPr>
                <w:rFonts w:cs="Arial"/>
                <w:color w:val="000000"/>
                <w:sz w:val="20"/>
              </w:rPr>
              <w:t>1,021</w:t>
            </w:r>
          </w:p>
          <w:p w:rsidR="00900980" w:rsidRPr="00C608AF" w:rsidRDefault="00900980" w:rsidP="00900980">
            <w:pPr>
              <w:rPr>
                <w:sz w:val="20"/>
              </w:rPr>
            </w:pPr>
          </w:p>
        </w:tc>
        <w:tc>
          <w:tcPr>
            <w:tcW w:w="1680" w:type="dxa"/>
          </w:tcPr>
          <w:p w:rsidR="00900980" w:rsidRPr="00680A97" w:rsidRDefault="00900980" w:rsidP="00900980">
            <w:pPr>
              <w:rPr>
                <w:color w:val="000000" w:themeColor="text1"/>
                <w:sz w:val="20"/>
              </w:rPr>
            </w:pPr>
            <w:r w:rsidRPr="00680A97">
              <w:rPr>
                <w:color w:val="000000" w:themeColor="text1"/>
                <w:sz w:val="20"/>
              </w:rPr>
              <w:lastRenderedPageBreak/>
              <w:t xml:space="preserve">Administrative and support </w:t>
            </w:r>
            <w:r w:rsidRPr="00680A97">
              <w:rPr>
                <w:color w:val="000000" w:themeColor="text1"/>
                <w:sz w:val="20"/>
              </w:rPr>
              <w:lastRenderedPageBreak/>
              <w:t>services: +</w:t>
            </w:r>
            <w:r w:rsidRPr="00680A97">
              <w:rPr>
                <w:rFonts w:cs="Arial"/>
                <w:color w:val="000000" w:themeColor="text1"/>
                <w:sz w:val="20"/>
              </w:rPr>
              <w:t>703</w:t>
            </w:r>
          </w:p>
          <w:p w:rsidR="00900980" w:rsidRPr="00680A97" w:rsidRDefault="00900980" w:rsidP="00900980">
            <w:pPr>
              <w:rPr>
                <w:color w:val="000000" w:themeColor="text1"/>
                <w:sz w:val="20"/>
              </w:rPr>
            </w:pPr>
            <w:r w:rsidRPr="00680A97">
              <w:rPr>
                <w:color w:val="000000" w:themeColor="text1"/>
                <w:sz w:val="20"/>
              </w:rPr>
              <w:t xml:space="preserve"> Professional, scientific and technical activities: +</w:t>
            </w:r>
            <w:r w:rsidRPr="00680A97">
              <w:rPr>
                <w:rFonts w:cs="Arial"/>
                <w:color w:val="000000" w:themeColor="text1"/>
                <w:sz w:val="20"/>
              </w:rPr>
              <w:t>632</w:t>
            </w:r>
          </w:p>
          <w:p w:rsidR="00900980" w:rsidRPr="00680A97" w:rsidRDefault="00900980" w:rsidP="00900980">
            <w:pPr>
              <w:rPr>
                <w:color w:val="000000" w:themeColor="text1"/>
                <w:sz w:val="20"/>
              </w:rPr>
            </w:pPr>
            <w:r w:rsidRPr="00680A97">
              <w:rPr>
                <w:color w:val="000000" w:themeColor="text1"/>
                <w:sz w:val="20"/>
              </w:rPr>
              <w:t>Public administration and defence:</w:t>
            </w:r>
            <w:r w:rsidRPr="00680A97">
              <w:rPr>
                <w:rFonts w:cs="Arial"/>
                <w:color w:val="000000" w:themeColor="text1"/>
                <w:sz w:val="20"/>
              </w:rPr>
              <w:t xml:space="preserve">   -2,389 </w:t>
            </w:r>
          </w:p>
        </w:tc>
        <w:tc>
          <w:tcPr>
            <w:tcW w:w="1680" w:type="dxa"/>
          </w:tcPr>
          <w:p w:rsidR="00900980" w:rsidRPr="00680A97" w:rsidRDefault="00900980" w:rsidP="00900980">
            <w:pPr>
              <w:rPr>
                <w:color w:val="000000" w:themeColor="text1"/>
                <w:sz w:val="20"/>
              </w:rPr>
            </w:pPr>
            <w:r w:rsidRPr="00680A97">
              <w:rPr>
                <w:color w:val="000000" w:themeColor="text1"/>
                <w:sz w:val="20"/>
              </w:rPr>
              <w:lastRenderedPageBreak/>
              <w:t xml:space="preserve">Professional, scientific and </w:t>
            </w:r>
            <w:r w:rsidRPr="00680A97">
              <w:rPr>
                <w:color w:val="000000" w:themeColor="text1"/>
                <w:sz w:val="20"/>
              </w:rPr>
              <w:lastRenderedPageBreak/>
              <w:t>technical activities: +</w:t>
            </w:r>
            <w:r w:rsidRPr="00680A97">
              <w:rPr>
                <w:rFonts w:cs="Arial"/>
                <w:color w:val="000000" w:themeColor="text1"/>
                <w:sz w:val="20"/>
              </w:rPr>
              <w:t>531</w:t>
            </w:r>
          </w:p>
          <w:p w:rsidR="00900980" w:rsidRPr="00680A97" w:rsidRDefault="00900980" w:rsidP="00900980">
            <w:pPr>
              <w:rPr>
                <w:color w:val="000000" w:themeColor="text1"/>
                <w:sz w:val="20"/>
              </w:rPr>
            </w:pPr>
          </w:p>
        </w:tc>
        <w:tc>
          <w:tcPr>
            <w:tcW w:w="2299" w:type="dxa"/>
          </w:tcPr>
          <w:p w:rsidR="00900980" w:rsidRPr="00680A97" w:rsidRDefault="00900980" w:rsidP="00900980">
            <w:pPr>
              <w:rPr>
                <w:color w:val="000000" w:themeColor="text1"/>
                <w:sz w:val="20"/>
              </w:rPr>
            </w:pPr>
            <w:r w:rsidRPr="00680A97">
              <w:rPr>
                <w:color w:val="000000" w:themeColor="text1"/>
                <w:sz w:val="20"/>
              </w:rPr>
              <w:lastRenderedPageBreak/>
              <w:t>Human health and social work: +3,035</w:t>
            </w:r>
          </w:p>
          <w:p w:rsidR="00900980" w:rsidRPr="00680A97" w:rsidRDefault="00900980" w:rsidP="00900980">
            <w:pPr>
              <w:rPr>
                <w:color w:val="000000" w:themeColor="text1"/>
                <w:sz w:val="20"/>
              </w:rPr>
            </w:pPr>
            <w:r w:rsidRPr="00680A97">
              <w:rPr>
                <w:color w:val="000000" w:themeColor="text1"/>
                <w:sz w:val="20"/>
              </w:rPr>
              <w:lastRenderedPageBreak/>
              <w:t>Administrative and support services: +2,660</w:t>
            </w:r>
          </w:p>
          <w:p w:rsidR="00900980" w:rsidRPr="00680A97" w:rsidRDefault="00900980" w:rsidP="00900980">
            <w:pPr>
              <w:rPr>
                <w:color w:val="000000" w:themeColor="text1"/>
                <w:sz w:val="20"/>
              </w:rPr>
            </w:pPr>
            <w:r w:rsidRPr="00680A97">
              <w:rPr>
                <w:color w:val="000000" w:themeColor="text1"/>
                <w:sz w:val="20"/>
              </w:rPr>
              <w:t xml:space="preserve"> Professional, scientific and technical activities: +2,184</w:t>
            </w:r>
          </w:p>
          <w:p w:rsidR="00900980" w:rsidRPr="00680A97" w:rsidRDefault="00900980" w:rsidP="00900980">
            <w:pPr>
              <w:rPr>
                <w:color w:val="000000" w:themeColor="text1"/>
                <w:sz w:val="20"/>
              </w:rPr>
            </w:pPr>
            <w:r w:rsidRPr="00680A97">
              <w:rPr>
                <w:color w:val="000000" w:themeColor="text1"/>
                <w:sz w:val="20"/>
              </w:rPr>
              <w:t>Public administration and defence: -2,830</w:t>
            </w:r>
          </w:p>
        </w:tc>
      </w:tr>
    </w:tbl>
    <w:p w:rsidR="00900980" w:rsidRDefault="00900980" w:rsidP="00900980">
      <w:pPr>
        <w:pStyle w:val="ListParagraph"/>
        <w:ind w:left="567"/>
        <w:rPr>
          <w:i/>
          <w:sz w:val="18"/>
          <w:szCs w:val="18"/>
        </w:rPr>
      </w:pPr>
      <w:r w:rsidRPr="006241BA">
        <w:rPr>
          <w:i/>
          <w:sz w:val="18"/>
          <w:szCs w:val="18"/>
        </w:rPr>
        <w:lastRenderedPageBreak/>
        <w:t>Source: Oxford Economics, 2016</w:t>
      </w:r>
    </w:p>
    <w:p w:rsidR="001D5CF2" w:rsidRDefault="001D5CF2" w:rsidP="00900980">
      <w:pPr>
        <w:pStyle w:val="ListParagraph"/>
        <w:ind w:left="567"/>
        <w:rPr>
          <w:i/>
          <w:sz w:val="18"/>
          <w:szCs w:val="18"/>
        </w:rPr>
      </w:pPr>
    </w:p>
    <w:p w:rsidR="001D5CF2" w:rsidRDefault="001D5CF2" w:rsidP="00900980">
      <w:pPr>
        <w:pStyle w:val="ListParagraph"/>
        <w:ind w:left="567"/>
        <w:rPr>
          <w:i/>
          <w:sz w:val="18"/>
          <w:szCs w:val="18"/>
        </w:rPr>
      </w:pPr>
    </w:p>
    <w:p w:rsidR="001D5CF2" w:rsidRPr="00AF6C67" w:rsidRDefault="001D5CF2" w:rsidP="001D5CF2">
      <w:pPr>
        <w:pStyle w:val="ListParagraph"/>
        <w:numPr>
          <w:ilvl w:val="0"/>
          <w:numId w:val="6"/>
        </w:numPr>
        <w:pBdr>
          <w:top w:val="single" w:sz="2" w:space="1" w:color="FFFFFF"/>
          <w:left w:val="single" w:sz="2" w:space="0" w:color="FFFFFF"/>
          <w:bottom w:val="single" w:sz="2" w:space="2" w:color="FFFFFF"/>
          <w:right w:val="single" w:sz="2" w:space="4" w:color="FFFFFF"/>
        </w:pBdr>
        <w:spacing w:line="280" w:lineRule="atLeast"/>
        <w:ind w:right="142"/>
        <w:contextualSpacing/>
      </w:pPr>
      <w:r w:rsidRPr="00900980">
        <w:rPr>
          <w:sz w:val="22"/>
          <w:szCs w:val="22"/>
        </w:rPr>
        <w:t>In terms of ‘policy-on’ modelling, sensitivity testing has been undertaken to understand the forecast growth, above the baseline, accounting for the impacts of the City Deal initiative on Preston/South Ribble and the South Ribble strategic sites – Cuerden and the Samlesbury Enterprise Zone. The impact of this on Preston is a net gain of 3,540 jobs on the baseline and in South Ribble, the focus of strategic sites, a gain of 15,580 jobs on baseline</w:t>
      </w:r>
      <w:r>
        <w:rPr>
          <w:szCs w:val="22"/>
        </w:rPr>
        <w:t>.</w:t>
      </w:r>
    </w:p>
    <w:p w:rsidR="001D5CF2" w:rsidRDefault="001D5CF2" w:rsidP="00900980">
      <w:pPr>
        <w:pStyle w:val="ListParagraph"/>
        <w:ind w:left="567"/>
        <w:rPr>
          <w:i/>
          <w:sz w:val="18"/>
          <w:szCs w:val="18"/>
        </w:rPr>
      </w:pPr>
    </w:p>
    <w:p w:rsidR="001D5CF2" w:rsidRPr="001D5CF2" w:rsidRDefault="001D5CF2" w:rsidP="001D5CF2">
      <w:pPr>
        <w:pStyle w:val="ListParagraph"/>
        <w:numPr>
          <w:ilvl w:val="0"/>
          <w:numId w:val="19"/>
        </w:numPr>
        <w:spacing w:line="280" w:lineRule="atLeast"/>
        <w:ind w:left="567" w:hanging="567"/>
        <w:contextualSpacing/>
        <w:rPr>
          <w:sz w:val="22"/>
          <w:szCs w:val="22"/>
        </w:rPr>
      </w:pPr>
      <w:r w:rsidRPr="001D5CF2">
        <w:rPr>
          <w:b/>
          <w:sz w:val="22"/>
          <w:szCs w:val="22"/>
        </w:rPr>
        <w:t>Objectively Assessed Needs</w:t>
      </w:r>
      <w:r w:rsidRPr="001D5CF2">
        <w:rPr>
          <w:sz w:val="22"/>
          <w:szCs w:val="22"/>
        </w:rPr>
        <w:t xml:space="preserve">: </w:t>
      </w:r>
      <w:r w:rsidRPr="001D5CF2">
        <w:rPr>
          <w:rFonts w:cs="Arial"/>
          <w:sz w:val="22"/>
          <w:szCs w:val="22"/>
        </w:rPr>
        <w:t xml:space="preserve">To assess need </w:t>
      </w:r>
      <w:r w:rsidRPr="009C2F91">
        <w:rPr>
          <w:rFonts w:cs="Arial"/>
          <w:sz w:val="22"/>
          <w:szCs w:val="22"/>
          <w:u w:val="single"/>
        </w:rPr>
        <w:t>two</w:t>
      </w:r>
      <w:r w:rsidRPr="001D5CF2">
        <w:rPr>
          <w:rFonts w:cs="Arial"/>
          <w:sz w:val="22"/>
          <w:szCs w:val="22"/>
        </w:rPr>
        <w:t xml:space="preserve"> recognised methods of forecasting have been used creating three distinct models of OAN for the study period 2014-2034. </w:t>
      </w:r>
    </w:p>
    <w:p w:rsidR="001D5CF2" w:rsidRPr="001D5CF2" w:rsidRDefault="001D5CF2" w:rsidP="001D5CF2">
      <w:pPr>
        <w:spacing w:line="280" w:lineRule="atLeast"/>
        <w:ind w:left="720" w:hanging="57"/>
        <w:rPr>
          <w:rFonts w:cs="Arial"/>
          <w:b/>
          <w:i/>
          <w:sz w:val="22"/>
          <w:szCs w:val="22"/>
        </w:rPr>
      </w:pPr>
    </w:p>
    <w:p w:rsidR="001D5CF2" w:rsidRPr="0000665C" w:rsidRDefault="001D5CF2" w:rsidP="00E24B53">
      <w:pPr>
        <w:pStyle w:val="ListParagraph"/>
        <w:numPr>
          <w:ilvl w:val="0"/>
          <w:numId w:val="17"/>
        </w:numPr>
        <w:tabs>
          <w:tab w:val="left" w:pos="993"/>
        </w:tabs>
        <w:spacing w:line="280" w:lineRule="atLeast"/>
        <w:ind w:left="993" w:hanging="426"/>
        <w:contextualSpacing/>
        <w:rPr>
          <w:rFonts w:cs="Arial"/>
          <w:b/>
          <w:i/>
          <w:sz w:val="22"/>
          <w:szCs w:val="22"/>
        </w:rPr>
      </w:pPr>
      <w:r w:rsidRPr="001D5CF2">
        <w:rPr>
          <w:rFonts w:cs="Arial"/>
          <w:b/>
          <w:sz w:val="22"/>
          <w:szCs w:val="22"/>
        </w:rPr>
        <w:t>Historic Land Take Up</w:t>
      </w:r>
      <w:r w:rsidRPr="001D5CF2">
        <w:rPr>
          <w:rFonts w:cs="Arial"/>
          <w:b/>
          <w:i/>
          <w:sz w:val="22"/>
          <w:szCs w:val="22"/>
        </w:rPr>
        <w:t xml:space="preserve">: </w:t>
      </w:r>
      <w:r w:rsidRPr="001D5CF2">
        <w:rPr>
          <w:rFonts w:cs="Arial"/>
          <w:sz w:val="22"/>
          <w:szCs w:val="22"/>
        </w:rPr>
        <w:t xml:space="preserve">The first method is a </w:t>
      </w:r>
      <w:r w:rsidRPr="001D5CF2">
        <w:rPr>
          <w:sz w:val="22"/>
          <w:szCs w:val="22"/>
        </w:rPr>
        <w:t xml:space="preserve">forward projection of historic land </w:t>
      </w:r>
      <w:r w:rsidR="00E420F5" w:rsidRPr="001D5CF2">
        <w:rPr>
          <w:sz w:val="22"/>
          <w:szCs w:val="22"/>
        </w:rPr>
        <w:t xml:space="preserve">take </w:t>
      </w:r>
      <w:r w:rsidR="00E420F5">
        <w:rPr>
          <w:sz w:val="22"/>
          <w:szCs w:val="22"/>
        </w:rPr>
        <w:t>up</w:t>
      </w:r>
      <w:r w:rsidRPr="001D5CF2">
        <w:rPr>
          <w:sz w:val="22"/>
          <w:szCs w:val="22"/>
        </w:rPr>
        <w:t xml:space="preserve"> trends to produce local only projections</w:t>
      </w:r>
      <w:r w:rsidRPr="001D5CF2">
        <w:rPr>
          <w:rFonts w:cs="Arial"/>
          <w:sz w:val="22"/>
          <w:szCs w:val="22"/>
        </w:rPr>
        <w:t>. Based on this the needs are:</w:t>
      </w:r>
    </w:p>
    <w:p w:rsidR="0000665C" w:rsidRPr="001D5CF2" w:rsidRDefault="0000665C" w:rsidP="0000665C">
      <w:pPr>
        <w:pStyle w:val="ListParagraph"/>
        <w:spacing w:line="280" w:lineRule="atLeast"/>
        <w:ind w:left="624"/>
        <w:contextualSpacing/>
        <w:rPr>
          <w:rFonts w:cs="Arial"/>
          <w:b/>
          <w:i/>
          <w:sz w:val="22"/>
          <w:szCs w:val="22"/>
        </w:rPr>
      </w:pPr>
    </w:p>
    <w:p w:rsidR="001D5CF2" w:rsidRPr="009C2F91" w:rsidRDefault="001D5CF2" w:rsidP="001D5CF2">
      <w:pPr>
        <w:pStyle w:val="ListParagraph"/>
        <w:numPr>
          <w:ilvl w:val="0"/>
          <w:numId w:val="18"/>
        </w:numPr>
        <w:spacing w:line="280" w:lineRule="atLeast"/>
        <w:ind w:left="984" w:hanging="57"/>
        <w:contextualSpacing/>
        <w:rPr>
          <w:rFonts w:cs="Arial"/>
          <w:sz w:val="22"/>
          <w:szCs w:val="22"/>
        </w:rPr>
      </w:pPr>
      <w:bookmarkStart w:id="2" w:name="_Hlk485994774"/>
      <w:r w:rsidRPr="001D5CF2">
        <w:rPr>
          <w:rFonts w:cs="Arial"/>
          <w:sz w:val="22"/>
          <w:szCs w:val="22"/>
        </w:rPr>
        <w:t xml:space="preserve">Chorley =         </w:t>
      </w:r>
      <w:r w:rsidRPr="009C2F91">
        <w:rPr>
          <w:rFonts w:cs="Arial"/>
          <w:sz w:val="22"/>
          <w:szCs w:val="22"/>
        </w:rPr>
        <w:t>95.50 ha</w:t>
      </w:r>
    </w:p>
    <w:p w:rsidR="001D5CF2" w:rsidRPr="009C2F91" w:rsidRDefault="001D5CF2" w:rsidP="001D5CF2">
      <w:pPr>
        <w:pStyle w:val="ListParagraph"/>
        <w:numPr>
          <w:ilvl w:val="0"/>
          <w:numId w:val="18"/>
        </w:numPr>
        <w:spacing w:line="280" w:lineRule="atLeast"/>
        <w:ind w:left="984" w:hanging="57"/>
        <w:contextualSpacing/>
        <w:rPr>
          <w:rFonts w:cs="Arial"/>
          <w:sz w:val="22"/>
          <w:szCs w:val="22"/>
        </w:rPr>
      </w:pPr>
      <w:r w:rsidRPr="009C2F91">
        <w:rPr>
          <w:rFonts w:cs="Arial"/>
          <w:sz w:val="22"/>
          <w:szCs w:val="22"/>
        </w:rPr>
        <w:t>Preston =         89.00 ha</w:t>
      </w:r>
    </w:p>
    <w:p w:rsidR="001D5CF2" w:rsidRPr="009C2F91" w:rsidRDefault="001D5CF2" w:rsidP="001D5CF2">
      <w:pPr>
        <w:pStyle w:val="ListParagraph"/>
        <w:numPr>
          <w:ilvl w:val="0"/>
          <w:numId w:val="18"/>
        </w:numPr>
        <w:spacing w:line="280" w:lineRule="atLeast"/>
        <w:ind w:left="984" w:hanging="57"/>
        <w:contextualSpacing/>
        <w:rPr>
          <w:rFonts w:cs="Arial"/>
          <w:sz w:val="22"/>
          <w:szCs w:val="22"/>
        </w:rPr>
      </w:pPr>
      <w:r w:rsidRPr="009C2F91">
        <w:rPr>
          <w:rFonts w:cs="Arial"/>
          <w:sz w:val="22"/>
          <w:szCs w:val="22"/>
        </w:rPr>
        <w:t>South Ribble = 88.50 ha.</w:t>
      </w:r>
      <w:bookmarkEnd w:id="2"/>
    </w:p>
    <w:p w:rsidR="001D5CF2" w:rsidRPr="001D5CF2" w:rsidRDefault="001D5CF2" w:rsidP="001D5CF2">
      <w:pPr>
        <w:pStyle w:val="ListParagraph"/>
        <w:spacing w:line="280" w:lineRule="atLeast"/>
        <w:ind w:left="984"/>
        <w:contextualSpacing/>
        <w:rPr>
          <w:rFonts w:cs="Arial"/>
          <w:sz w:val="22"/>
          <w:szCs w:val="22"/>
        </w:rPr>
      </w:pPr>
    </w:p>
    <w:p w:rsidR="001D5CF2" w:rsidRDefault="001D5CF2" w:rsidP="00E24B53">
      <w:pPr>
        <w:pStyle w:val="ListParagraph"/>
        <w:tabs>
          <w:tab w:val="left" w:pos="567"/>
        </w:tabs>
        <w:spacing w:line="280" w:lineRule="atLeast"/>
        <w:ind w:left="927"/>
        <w:rPr>
          <w:sz w:val="22"/>
          <w:szCs w:val="22"/>
        </w:rPr>
      </w:pPr>
      <w:r w:rsidRPr="009C2F91">
        <w:rPr>
          <w:rFonts w:cs="Arial"/>
          <w:sz w:val="22"/>
          <w:szCs w:val="22"/>
        </w:rPr>
        <w:t xml:space="preserve">The Central Lancashire total </w:t>
      </w:r>
      <w:r w:rsidR="009C2F91" w:rsidRPr="009C2F91">
        <w:rPr>
          <w:rFonts w:cs="Arial"/>
          <w:sz w:val="22"/>
          <w:szCs w:val="22"/>
        </w:rPr>
        <w:t xml:space="preserve">need </w:t>
      </w:r>
      <w:r w:rsidRPr="009C2F91">
        <w:rPr>
          <w:rFonts w:cs="Arial"/>
          <w:sz w:val="22"/>
          <w:szCs w:val="22"/>
        </w:rPr>
        <w:t>requirement is 273.00 ha.</w:t>
      </w:r>
      <w:r w:rsidRPr="001D5CF2">
        <w:rPr>
          <w:rFonts w:cs="Arial"/>
          <w:b/>
          <w:sz w:val="22"/>
          <w:szCs w:val="22"/>
        </w:rPr>
        <w:t xml:space="preserve">  </w:t>
      </w:r>
      <w:r w:rsidRPr="001D5CF2">
        <w:rPr>
          <w:rFonts w:cs="Arial"/>
          <w:sz w:val="22"/>
          <w:szCs w:val="22"/>
        </w:rPr>
        <w:t xml:space="preserve">Figures are inclusive of a five year </w:t>
      </w:r>
      <w:r w:rsidRPr="001D5CF2">
        <w:rPr>
          <w:sz w:val="22"/>
          <w:szCs w:val="22"/>
        </w:rPr>
        <w:t xml:space="preserve">buffer to reflect a choice of sites by size, quality and location and to provide a continuum of supply beyond the end of the 2034 period. </w:t>
      </w:r>
      <w:r w:rsidRPr="0000665C">
        <w:rPr>
          <w:sz w:val="22"/>
          <w:szCs w:val="22"/>
        </w:rPr>
        <w:t>The buffer also makes some allowance for the loss of further employment land to non B-Class uses over the period to 2034.</w:t>
      </w:r>
    </w:p>
    <w:p w:rsidR="0000665C" w:rsidRDefault="0000665C" w:rsidP="00E24B53">
      <w:pPr>
        <w:pStyle w:val="ListParagraph"/>
        <w:tabs>
          <w:tab w:val="left" w:pos="567"/>
        </w:tabs>
        <w:spacing w:line="280" w:lineRule="atLeast"/>
        <w:ind w:left="927"/>
        <w:rPr>
          <w:szCs w:val="22"/>
        </w:rPr>
      </w:pPr>
    </w:p>
    <w:p w:rsidR="0000665C" w:rsidRPr="009C2F91" w:rsidRDefault="0000665C" w:rsidP="00E24B53">
      <w:pPr>
        <w:spacing w:line="280" w:lineRule="atLeast"/>
        <w:ind w:left="927"/>
        <w:rPr>
          <w:rFonts w:cs="Arial"/>
          <w:sz w:val="22"/>
          <w:szCs w:val="22"/>
        </w:rPr>
      </w:pPr>
      <w:r w:rsidRPr="00AF6C67">
        <w:rPr>
          <w:rFonts w:cs="Arial"/>
          <w:sz w:val="22"/>
          <w:szCs w:val="22"/>
        </w:rPr>
        <w:t xml:space="preserve">Need has been compared to local level supply, which has been backdated from 2016 to 2014, to ensure that the need and supply dates match. Against this backdated supply, Central Lancashire has a shortfall of </w:t>
      </w:r>
      <w:r w:rsidRPr="009C2F91">
        <w:rPr>
          <w:rFonts w:cs="Arial"/>
          <w:sz w:val="22"/>
          <w:szCs w:val="22"/>
        </w:rPr>
        <w:t>8</w:t>
      </w:r>
      <w:r w:rsidR="00A30E5E" w:rsidRPr="009C2F91">
        <w:rPr>
          <w:rFonts w:cs="Arial"/>
          <w:sz w:val="22"/>
          <w:szCs w:val="22"/>
        </w:rPr>
        <w:t>4.57</w:t>
      </w:r>
      <w:r w:rsidRPr="009C2F91">
        <w:rPr>
          <w:rFonts w:cs="Arial"/>
          <w:sz w:val="22"/>
          <w:szCs w:val="22"/>
        </w:rPr>
        <w:t xml:space="preserve"> ha to meet local needs, comprising:</w:t>
      </w:r>
    </w:p>
    <w:p w:rsidR="0000665C" w:rsidRPr="00E24B53" w:rsidRDefault="0000665C" w:rsidP="00E24B53">
      <w:pPr>
        <w:pStyle w:val="ListParagraph"/>
        <w:numPr>
          <w:ilvl w:val="0"/>
          <w:numId w:val="24"/>
        </w:numPr>
        <w:spacing w:line="280" w:lineRule="atLeast"/>
        <w:ind w:left="1287"/>
        <w:rPr>
          <w:rFonts w:cs="Arial"/>
          <w:sz w:val="22"/>
          <w:szCs w:val="22"/>
        </w:rPr>
      </w:pPr>
      <w:r w:rsidRPr="00E24B53">
        <w:rPr>
          <w:rFonts w:cs="Arial"/>
          <w:sz w:val="22"/>
          <w:szCs w:val="22"/>
        </w:rPr>
        <w:t>Chorley: 95.50 ha (need) – 59.</w:t>
      </w:r>
      <w:r w:rsidR="00A30E5E" w:rsidRPr="00E24B53">
        <w:rPr>
          <w:rFonts w:cs="Arial"/>
          <w:sz w:val="22"/>
          <w:szCs w:val="22"/>
        </w:rPr>
        <w:t>7</w:t>
      </w:r>
      <w:r w:rsidRPr="00E24B53">
        <w:rPr>
          <w:rFonts w:cs="Arial"/>
          <w:sz w:val="22"/>
          <w:szCs w:val="22"/>
        </w:rPr>
        <w:t>5 ha (realistic supply, local only, backdated) =</w:t>
      </w:r>
      <w:r w:rsidR="009C2F91" w:rsidRPr="00E24B53">
        <w:rPr>
          <w:rFonts w:cs="Arial"/>
          <w:sz w:val="22"/>
          <w:szCs w:val="22"/>
        </w:rPr>
        <w:t xml:space="preserve"> </w:t>
      </w:r>
      <w:r w:rsidRPr="00E24B53">
        <w:rPr>
          <w:rFonts w:cs="Arial"/>
          <w:sz w:val="22"/>
          <w:szCs w:val="22"/>
        </w:rPr>
        <w:t>3</w:t>
      </w:r>
      <w:r w:rsidR="00A30E5E" w:rsidRPr="00E24B53">
        <w:rPr>
          <w:rFonts w:cs="Arial"/>
          <w:sz w:val="22"/>
          <w:szCs w:val="22"/>
        </w:rPr>
        <w:t>5.75</w:t>
      </w:r>
      <w:r w:rsidRPr="00E24B53">
        <w:rPr>
          <w:rFonts w:cs="Arial"/>
          <w:sz w:val="22"/>
          <w:szCs w:val="22"/>
        </w:rPr>
        <w:t xml:space="preserve"> ha (further need)</w:t>
      </w:r>
    </w:p>
    <w:p w:rsidR="0000665C" w:rsidRPr="00E24B53" w:rsidRDefault="0000665C" w:rsidP="00E24B53">
      <w:pPr>
        <w:pStyle w:val="ListParagraph"/>
        <w:numPr>
          <w:ilvl w:val="0"/>
          <w:numId w:val="24"/>
        </w:numPr>
        <w:spacing w:line="280" w:lineRule="atLeast"/>
        <w:ind w:left="1287"/>
        <w:rPr>
          <w:rFonts w:cs="Arial"/>
          <w:sz w:val="22"/>
          <w:szCs w:val="22"/>
        </w:rPr>
      </w:pPr>
      <w:r w:rsidRPr="00E24B53">
        <w:rPr>
          <w:rFonts w:cs="Arial"/>
          <w:sz w:val="22"/>
          <w:szCs w:val="22"/>
        </w:rPr>
        <w:t>Preston: 89.00 ha (need) – 7</w:t>
      </w:r>
      <w:r w:rsidR="00A30E5E" w:rsidRPr="00E24B53">
        <w:rPr>
          <w:rFonts w:cs="Arial"/>
          <w:sz w:val="22"/>
          <w:szCs w:val="22"/>
        </w:rPr>
        <w:t>1</w:t>
      </w:r>
      <w:r w:rsidRPr="00E24B53">
        <w:rPr>
          <w:rFonts w:cs="Arial"/>
          <w:sz w:val="22"/>
          <w:szCs w:val="22"/>
        </w:rPr>
        <w:t>.</w:t>
      </w:r>
      <w:r w:rsidR="00A30E5E" w:rsidRPr="00E24B53">
        <w:rPr>
          <w:rFonts w:cs="Arial"/>
          <w:sz w:val="22"/>
          <w:szCs w:val="22"/>
        </w:rPr>
        <w:t>69</w:t>
      </w:r>
      <w:r w:rsidRPr="00E24B53">
        <w:rPr>
          <w:rFonts w:cs="Arial"/>
          <w:sz w:val="22"/>
          <w:szCs w:val="22"/>
        </w:rPr>
        <w:t xml:space="preserve"> ha (realistic supply, local only, backdated) = 1</w:t>
      </w:r>
      <w:r w:rsidR="00A30E5E" w:rsidRPr="00E24B53">
        <w:rPr>
          <w:rFonts w:cs="Arial"/>
          <w:sz w:val="22"/>
          <w:szCs w:val="22"/>
        </w:rPr>
        <w:t>7</w:t>
      </w:r>
      <w:r w:rsidRPr="00E24B53">
        <w:rPr>
          <w:rFonts w:cs="Arial"/>
          <w:sz w:val="22"/>
          <w:szCs w:val="22"/>
        </w:rPr>
        <w:t>.</w:t>
      </w:r>
      <w:r w:rsidR="00A30E5E" w:rsidRPr="00E24B53">
        <w:rPr>
          <w:rFonts w:cs="Arial"/>
          <w:sz w:val="22"/>
          <w:szCs w:val="22"/>
        </w:rPr>
        <w:t>31</w:t>
      </w:r>
      <w:r w:rsidRPr="00E24B53">
        <w:rPr>
          <w:rFonts w:cs="Arial"/>
          <w:sz w:val="22"/>
          <w:szCs w:val="22"/>
        </w:rPr>
        <w:t xml:space="preserve"> ha </w:t>
      </w:r>
      <w:r w:rsidR="00E24B53" w:rsidRPr="00E24B53">
        <w:rPr>
          <w:rFonts w:cs="Arial"/>
          <w:sz w:val="22"/>
          <w:szCs w:val="22"/>
        </w:rPr>
        <w:t xml:space="preserve"> </w:t>
      </w:r>
      <w:r w:rsidRPr="00E24B53">
        <w:rPr>
          <w:rFonts w:cs="Arial"/>
          <w:sz w:val="22"/>
          <w:szCs w:val="22"/>
        </w:rPr>
        <w:t>(further need)</w:t>
      </w:r>
    </w:p>
    <w:p w:rsidR="0000665C" w:rsidRPr="00E24B53" w:rsidRDefault="0000665C" w:rsidP="00E24B53">
      <w:pPr>
        <w:pStyle w:val="ListParagraph"/>
        <w:numPr>
          <w:ilvl w:val="0"/>
          <w:numId w:val="24"/>
        </w:numPr>
        <w:spacing w:line="280" w:lineRule="atLeast"/>
        <w:ind w:left="1287"/>
        <w:rPr>
          <w:rFonts w:cs="Arial"/>
          <w:sz w:val="22"/>
          <w:szCs w:val="22"/>
        </w:rPr>
      </w:pPr>
      <w:r w:rsidRPr="00E24B53">
        <w:rPr>
          <w:rFonts w:cs="Arial"/>
          <w:sz w:val="22"/>
          <w:szCs w:val="22"/>
        </w:rPr>
        <w:t>South Ribble: 88.50ha (need) – 56.99 ha (realistic supply, local only) = 31.51 ha (further need).</w:t>
      </w:r>
    </w:p>
    <w:p w:rsidR="0000665C" w:rsidRPr="00AF6C67" w:rsidRDefault="0000665C" w:rsidP="00E24B53">
      <w:pPr>
        <w:pStyle w:val="ListParagraph"/>
        <w:spacing w:line="360" w:lineRule="auto"/>
        <w:ind w:left="350"/>
        <w:rPr>
          <w:rFonts w:cs="Arial"/>
          <w:szCs w:val="22"/>
        </w:rPr>
      </w:pPr>
    </w:p>
    <w:p w:rsidR="0000665C" w:rsidRDefault="0000665C" w:rsidP="00E24B53">
      <w:pPr>
        <w:numPr>
          <w:ilvl w:val="0"/>
          <w:numId w:val="17"/>
        </w:numPr>
        <w:spacing w:line="280" w:lineRule="atLeast"/>
        <w:ind w:left="993" w:hanging="426"/>
        <w:rPr>
          <w:rFonts w:cs="Arial"/>
          <w:sz w:val="22"/>
          <w:szCs w:val="22"/>
        </w:rPr>
      </w:pPr>
      <w:r w:rsidRPr="006F394D">
        <w:rPr>
          <w:rFonts w:cs="Arial"/>
          <w:b/>
          <w:sz w:val="22"/>
          <w:szCs w:val="22"/>
        </w:rPr>
        <w:t>Jobs Growth:</w:t>
      </w:r>
      <w:r>
        <w:rPr>
          <w:rFonts w:cs="Arial"/>
          <w:sz w:val="22"/>
          <w:szCs w:val="22"/>
        </w:rPr>
        <w:t xml:space="preserve"> </w:t>
      </w:r>
      <w:r w:rsidRPr="006F394D">
        <w:rPr>
          <w:rFonts w:cs="Arial"/>
          <w:sz w:val="22"/>
          <w:szCs w:val="22"/>
        </w:rPr>
        <w:t xml:space="preserve">The second method looks at jobs growth, as identified in Oxford Economics (2016) forecast modelling. </w:t>
      </w:r>
      <w:r>
        <w:rPr>
          <w:rFonts w:cs="Arial"/>
          <w:sz w:val="22"/>
          <w:szCs w:val="22"/>
        </w:rPr>
        <w:t xml:space="preserve">The </w:t>
      </w:r>
      <w:r w:rsidRPr="006F394D">
        <w:rPr>
          <w:rFonts w:cs="Arial"/>
          <w:sz w:val="22"/>
          <w:szCs w:val="22"/>
        </w:rPr>
        <w:t>resulting jobs based forecast model suggest</w:t>
      </w:r>
      <w:r>
        <w:rPr>
          <w:rFonts w:cs="Arial"/>
          <w:sz w:val="22"/>
          <w:szCs w:val="22"/>
        </w:rPr>
        <w:t>s</w:t>
      </w:r>
      <w:r w:rsidRPr="006F394D">
        <w:rPr>
          <w:rFonts w:cs="Arial"/>
          <w:sz w:val="22"/>
          <w:szCs w:val="22"/>
        </w:rPr>
        <w:t xml:space="preserve"> that all three Boroughs have sufficient land to meet needs. When a ‘Policy On’ allowance is made, as discussed in </w:t>
      </w:r>
      <w:r>
        <w:rPr>
          <w:rFonts w:cs="Arial"/>
          <w:sz w:val="22"/>
          <w:szCs w:val="22"/>
        </w:rPr>
        <w:t>para 12 above P</w:t>
      </w:r>
      <w:r w:rsidRPr="006F394D">
        <w:rPr>
          <w:rFonts w:cs="Arial"/>
          <w:sz w:val="22"/>
          <w:szCs w:val="22"/>
        </w:rPr>
        <w:t xml:space="preserve">reston has needs of 11.50-14.90 ha to 2034. In South Ribble, the focus of strategic sites, the needs are much larger at 52.90-53.20 ha. Both </w:t>
      </w:r>
      <w:r w:rsidR="00E420F5" w:rsidRPr="006F394D">
        <w:rPr>
          <w:rFonts w:cs="Arial"/>
          <w:sz w:val="22"/>
          <w:szCs w:val="22"/>
        </w:rPr>
        <w:t>Boroughs</w:t>
      </w:r>
      <w:r w:rsidRPr="006F394D">
        <w:rPr>
          <w:rFonts w:cs="Arial"/>
          <w:sz w:val="22"/>
          <w:szCs w:val="22"/>
        </w:rPr>
        <w:t xml:space="preserve"> have sufficient employment land to meet these projected needs, with the greater requirement in South Ribble being supportive of strategic allocations.</w:t>
      </w:r>
    </w:p>
    <w:p w:rsidR="0000665C" w:rsidRDefault="0000665C" w:rsidP="0000665C">
      <w:pPr>
        <w:spacing w:line="280" w:lineRule="atLeast"/>
        <w:rPr>
          <w:rFonts w:cs="Arial"/>
          <w:sz w:val="22"/>
          <w:szCs w:val="22"/>
        </w:rPr>
      </w:pPr>
    </w:p>
    <w:p w:rsidR="0000665C" w:rsidRPr="0000665C" w:rsidRDefault="0000665C" w:rsidP="00F35C14">
      <w:pPr>
        <w:pStyle w:val="ListParagraph"/>
        <w:numPr>
          <w:ilvl w:val="0"/>
          <w:numId w:val="19"/>
        </w:numPr>
        <w:spacing w:line="280" w:lineRule="atLeast"/>
        <w:ind w:left="567" w:hanging="567"/>
        <w:contextualSpacing/>
        <w:rPr>
          <w:rFonts w:cs="Arial"/>
          <w:sz w:val="22"/>
          <w:szCs w:val="22"/>
        </w:rPr>
      </w:pPr>
      <w:r w:rsidRPr="0000665C">
        <w:rPr>
          <w:rFonts w:cs="Arial"/>
          <w:sz w:val="22"/>
          <w:szCs w:val="22"/>
        </w:rPr>
        <w:lastRenderedPageBreak/>
        <w:t>However, to test how closely jobs change translates to land take-up, historic trends have been compared for South Ribble</w:t>
      </w:r>
      <w:r w:rsidR="00A30E5E">
        <w:rPr>
          <w:rFonts w:cs="Arial"/>
          <w:sz w:val="22"/>
          <w:szCs w:val="22"/>
        </w:rPr>
        <w:t>, Chorley and Preston.</w:t>
      </w:r>
      <w:r w:rsidRPr="0000665C">
        <w:rPr>
          <w:rFonts w:cs="Arial"/>
          <w:sz w:val="22"/>
          <w:szCs w:val="22"/>
        </w:rPr>
        <w:t xml:space="preserve"> </w:t>
      </w:r>
      <w:r w:rsidRPr="00A30E5E">
        <w:rPr>
          <w:rFonts w:cs="Arial"/>
          <w:color w:val="000000" w:themeColor="text1"/>
          <w:sz w:val="22"/>
          <w:szCs w:val="22"/>
        </w:rPr>
        <w:t xml:space="preserve">Using the same methodology, the land needs based on employment change has been calculated for two historic periods. For this analysis, just baseline (policy-off) forecasts are used as the relevant strategic initiatives had yet to be implemented during the bulk of these historic periods. The long-term period from 1991-2016 has been compared to the actual land take-up during that period and 2001-2007 which was a period of sustained economic growth nationally. The two assessments show that low net jobs growth during both periods, would have resulted in negative land needs. Even if the sectors predicted to grow only are considered, the projected land requirements represent only a fraction of what was taken up in reality. Thus, the trend shows that net jobs growth is not an accurate method of calculating land.  </w:t>
      </w:r>
      <w:r w:rsidRPr="0000665C">
        <w:rPr>
          <w:rFonts w:cs="Arial"/>
          <w:b/>
          <w:sz w:val="22"/>
          <w:szCs w:val="22"/>
        </w:rPr>
        <w:t>The preferred forecasting method is therefore a projection forward of past take-up rates that considers local needs.</w:t>
      </w:r>
      <w:r w:rsidRPr="0000665C">
        <w:rPr>
          <w:rFonts w:cs="Arial"/>
          <w:sz w:val="22"/>
          <w:szCs w:val="22"/>
        </w:rPr>
        <w:t xml:space="preserve"> </w:t>
      </w:r>
    </w:p>
    <w:p w:rsidR="0000665C" w:rsidRDefault="0000665C" w:rsidP="0000665C">
      <w:pPr>
        <w:rPr>
          <w:highlight w:val="yellow"/>
        </w:rPr>
      </w:pPr>
    </w:p>
    <w:p w:rsidR="0000665C" w:rsidRPr="007D5CE6" w:rsidRDefault="0000665C" w:rsidP="0000665C">
      <w:pPr>
        <w:autoSpaceDE w:val="0"/>
        <w:autoSpaceDN w:val="0"/>
        <w:adjustRightInd w:val="0"/>
        <w:spacing w:line="360" w:lineRule="auto"/>
        <w:ind w:left="567" w:hanging="567"/>
        <w:rPr>
          <w:rFonts w:cs="Arial"/>
          <w:b/>
          <w:sz w:val="22"/>
          <w:szCs w:val="22"/>
        </w:rPr>
      </w:pPr>
      <w:r w:rsidRPr="007D5CE6">
        <w:rPr>
          <w:rFonts w:cs="Arial"/>
          <w:b/>
          <w:sz w:val="22"/>
          <w:szCs w:val="22"/>
        </w:rPr>
        <w:t xml:space="preserve">Employment Land Study </w:t>
      </w:r>
      <w:r>
        <w:rPr>
          <w:rFonts w:cs="Arial"/>
          <w:b/>
          <w:sz w:val="22"/>
          <w:szCs w:val="22"/>
        </w:rPr>
        <w:t xml:space="preserve">Main </w:t>
      </w:r>
      <w:r w:rsidRPr="007D5CE6">
        <w:rPr>
          <w:rFonts w:cs="Arial"/>
          <w:b/>
          <w:sz w:val="22"/>
          <w:szCs w:val="22"/>
        </w:rPr>
        <w:t>Recommendations</w:t>
      </w:r>
    </w:p>
    <w:p w:rsidR="0000665C" w:rsidRDefault="0000665C" w:rsidP="00F35C14">
      <w:pPr>
        <w:autoSpaceDE w:val="0"/>
        <w:autoSpaceDN w:val="0"/>
        <w:adjustRightInd w:val="0"/>
        <w:spacing w:line="280" w:lineRule="atLeast"/>
        <w:rPr>
          <w:rFonts w:cs="Arial"/>
          <w:sz w:val="22"/>
          <w:szCs w:val="22"/>
          <w:lang w:eastAsia="en-GB"/>
        </w:rPr>
      </w:pPr>
      <w:r>
        <w:rPr>
          <w:rFonts w:cs="Arial"/>
          <w:szCs w:val="22"/>
        </w:rPr>
        <w:t xml:space="preserve">15. </w:t>
      </w:r>
      <w:r w:rsidRPr="002D5440">
        <w:rPr>
          <w:rFonts w:cs="Arial"/>
          <w:b/>
          <w:sz w:val="22"/>
          <w:szCs w:val="22"/>
        </w:rPr>
        <w:t>Recommendation 1</w:t>
      </w:r>
      <w:r w:rsidR="00264EDF">
        <w:rPr>
          <w:rFonts w:cs="Arial"/>
          <w:b/>
          <w:sz w:val="22"/>
          <w:szCs w:val="22"/>
        </w:rPr>
        <w:t xml:space="preserve">: </w:t>
      </w:r>
      <w:r w:rsidRPr="0070731A">
        <w:rPr>
          <w:rFonts w:cs="Arial"/>
          <w:b/>
          <w:sz w:val="22"/>
          <w:szCs w:val="22"/>
        </w:rPr>
        <w:t>Employment Land and Premises Supply</w:t>
      </w:r>
      <w:r>
        <w:rPr>
          <w:rFonts w:cs="Arial"/>
          <w:b/>
          <w:sz w:val="22"/>
          <w:szCs w:val="22"/>
        </w:rPr>
        <w:t xml:space="preserve">/Employment Land </w:t>
      </w:r>
      <w:r>
        <w:rPr>
          <w:rFonts w:cs="Arial"/>
          <w:b/>
          <w:sz w:val="22"/>
          <w:szCs w:val="22"/>
        </w:rPr>
        <w:tab/>
        <w:t>Provision Definition</w:t>
      </w:r>
      <w:r w:rsidRPr="0070731A">
        <w:rPr>
          <w:rFonts w:cs="Arial"/>
          <w:b/>
          <w:sz w:val="22"/>
          <w:szCs w:val="22"/>
        </w:rPr>
        <w:t>:</w:t>
      </w:r>
      <w:r w:rsidRPr="0070731A">
        <w:rPr>
          <w:rFonts w:cs="Arial"/>
          <w:sz w:val="22"/>
          <w:szCs w:val="22"/>
        </w:rPr>
        <w:t xml:space="preserve"> </w:t>
      </w:r>
      <w:r>
        <w:rPr>
          <w:rFonts w:cs="Arial"/>
          <w:sz w:val="22"/>
          <w:szCs w:val="22"/>
        </w:rPr>
        <w:tab/>
      </w:r>
      <w:r w:rsidRPr="0070731A">
        <w:rPr>
          <w:rFonts w:cs="Arial"/>
          <w:sz w:val="22"/>
          <w:szCs w:val="22"/>
        </w:rPr>
        <w:t xml:space="preserve">The total Central </w:t>
      </w:r>
      <w:r>
        <w:rPr>
          <w:rFonts w:cs="Arial"/>
          <w:sz w:val="22"/>
          <w:szCs w:val="22"/>
        </w:rPr>
        <w:tab/>
      </w:r>
      <w:r w:rsidRPr="0070731A">
        <w:rPr>
          <w:rFonts w:cs="Arial"/>
          <w:sz w:val="22"/>
          <w:szCs w:val="22"/>
        </w:rPr>
        <w:t>Lancashire Baseline Supp</w:t>
      </w:r>
      <w:r w:rsidR="00680A97">
        <w:rPr>
          <w:rFonts w:cs="Arial"/>
          <w:sz w:val="22"/>
          <w:szCs w:val="22"/>
        </w:rPr>
        <w:t>l</w:t>
      </w:r>
      <w:r w:rsidRPr="0070731A">
        <w:rPr>
          <w:rFonts w:cs="Arial"/>
          <w:sz w:val="22"/>
          <w:szCs w:val="22"/>
        </w:rPr>
        <w:t xml:space="preserve">y is </w:t>
      </w:r>
      <w:r w:rsidRPr="0070731A">
        <w:rPr>
          <w:rFonts w:cs="Arial"/>
          <w:b/>
          <w:sz w:val="22"/>
          <w:szCs w:val="22"/>
        </w:rPr>
        <w:t>239.89</w:t>
      </w:r>
      <w:r w:rsidR="00264EDF">
        <w:rPr>
          <w:rFonts w:cs="Arial"/>
          <w:b/>
          <w:sz w:val="22"/>
          <w:szCs w:val="22"/>
        </w:rPr>
        <w:t xml:space="preserve"> </w:t>
      </w:r>
      <w:r w:rsidRPr="0070731A">
        <w:rPr>
          <w:rFonts w:cs="Arial"/>
          <w:b/>
          <w:sz w:val="22"/>
          <w:szCs w:val="22"/>
        </w:rPr>
        <w:t xml:space="preserve">hectares. </w:t>
      </w:r>
      <w:r w:rsidR="00F35C14">
        <w:rPr>
          <w:rFonts w:cs="Arial"/>
          <w:b/>
          <w:sz w:val="22"/>
          <w:szCs w:val="22"/>
        </w:rPr>
        <w:tab/>
      </w:r>
      <w:r w:rsidRPr="0070731A">
        <w:rPr>
          <w:rFonts w:cs="Arial"/>
          <w:sz w:val="22"/>
          <w:szCs w:val="22"/>
          <w:lang w:eastAsia="en-GB"/>
        </w:rPr>
        <w:t xml:space="preserve">However, consideration of this supply which includes existing Local Plan allocations </w:t>
      </w:r>
      <w:r w:rsidR="00F35C14">
        <w:rPr>
          <w:rFonts w:cs="Arial"/>
          <w:sz w:val="22"/>
          <w:szCs w:val="22"/>
          <w:lang w:eastAsia="en-GB"/>
        </w:rPr>
        <w:tab/>
      </w:r>
      <w:r>
        <w:rPr>
          <w:rFonts w:cs="Arial"/>
          <w:sz w:val="22"/>
          <w:szCs w:val="22"/>
          <w:lang w:eastAsia="en-GB"/>
        </w:rPr>
        <w:t>s</w:t>
      </w:r>
      <w:r w:rsidRPr="0070731A">
        <w:rPr>
          <w:rFonts w:cs="Arial"/>
          <w:sz w:val="22"/>
          <w:szCs w:val="22"/>
          <w:lang w:eastAsia="en-GB"/>
        </w:rPr>
        <w:t>uggests that these totals include areas of land which will not be brought forward for</w:t>
      </w:r>
      <w:r>
        <w:rPr>
          <w:rFonts w:cs="Arial"/>
          <w:sz w:val="22"/>
          <w:szCs w:val="22"/>
          <w:lang w:eastAsia="en-GB"/>
        </w:rPr>
        <w:t xml:space="preserve"> </w:t>
      </w:r>
      <w:r w:rsidR="00F35C14">
        <w:rPr>
          <w:rFonts w:cs="Arial"/>
          <w:sz w:val="22"/>
          <w:szCs w:val="22"/>
          <w:lang w:eastAsia="en-GB"/>
        </w:rPr>
        <w:tab/>
      </w:r>
      <w:r w:rsidRPr="0070731A">
        <w:rPr>
          <w:rFonts w:cs="Arial"/>
          <w:sz w:val="22"/>
          <w:szCs w:val="22"/>
          <w:lang w:eastAsia="en-GB"/>
        </w:rPr>
        <w:t xml:space="preserve">development, will be developed for non B-Class uses, to meet the needs of specific </w:t>
      </w:r>
      <w:r w:rsidR="00F35C14">
        <w:rPr>
          <w:rFonts w:cs="Arial"/>
          <w:sz w:val="22"/>
          <w:szCs w:val="22"/>
          <w:lang w:eastAsia="en-GB"/>
        </w:rPr>
        <w:tab/>
      </w:r>
      <w:r w:rsidRPr="0070731A">
        <w:rPr>
          <w:rFonts w:cs="Arial"/>
          <w:sz w:val="22"/>
          <w:szCs w:val="22"/>
          <w:lang w:eastAsia="en-GB"/>
        </w:rPr>
        <w:t xml:space="preserve">occupiers only (i.e. expansion space) or where development has now completed. For the </w:t>
      </w:r>
      <w:r w:rsidR="00F35C14">
        <w:rPr>
          <w:rFonts w:cs="Arial"/>
          <w:sz w:val="22"/>
          <w:szCs w:val="22"/>
          <w:lang w:eastAsia="en-GB"/>
        </w:rPr>
        <w:tab/>
      </w:r>
      <w:r w:rsidRPr="0070731A">
        <w:rPr>
          <w:rFonts w:cs="Arial"/>
          <w:sz w:val="22"/>
          <w:szCs w:val="22"/>
          <w:lang w:eastAsia="en-GB"/>
        </w:rPr>
        <w:t>purpose</w:t>
      </w:r>
      <w:r w:rsidR="006E1B37">
        <w:rPr>
          <w:rFonts w:cs="Arial"/>
          <w:sz w:val="22"/>
          <w:szCs w:val="22"/>
          <w:lang w:eastAsia="en-GB"/>
        </w:rPr>
        <w:t xml:space="preserve"> </w:t>
      </w:r>
      <w:r w:rsidRPr="0070731A">
        <w:rPr>
          <w:rFonts w:cs="Arial"/>
          <w:sz w:val="22"/>
          <w:szCs w:val="22"/>
          <w:lang w:eastAsia="en-GB"/>
        </w:rPr>
        <w:t xml:space="preserve">of this </w:t>
      </w:r>
      <w:r>
        <w:rPr>
          <w:rFonts w:cs="Arial"/>
          <w:sz w:val="22"/>
          <w:szCs w:val="22"/>
          <w:lang w:eastAsia="en-GB"/>
        </w:rPr>
        <w:tab/>
      </w:r>
      <w:r w:rsidRPr="0070731A">
        <w:rPr>
          <w:rFonts w:cs="Arial"/>
          <w:sz w:val="22"/>
          <w:szCs w:val="22"/>
          <w:lang w:eastAsia="en-GB"/>
        </w:rPr>
        <w:t xml:space="preserve">study, the current available local land supply in Central Lancashire is </w:t>
      </w:r>
      <w:r w:rsidR="00F35C14">
        <w:rPr>
          <w:rFonts w:cs="Arial"/>
          <w:sz w:val="22"/>
          <w:szCs w:val="22"/>
          <w:lang w:eastAsia="en-GB"/>
        </w:rPr>
        <w:tab/>
      </w:r>
      <w:r w:rsidRPr="0070731A">
        <w:rPr>
          <w:rFonts w:cs="Arial"/>
          <w:sz w:val="22"/>
          <w:szCs w:val="22"/>
          <w:lang w:eastAsia="en-GB"/>
        </w:rPr>
        <w:t>defined as 3</w:t>
      </w:r>
      <w:r w:rsidR="00680A97">
        <w:rPr>
          <w:rFonts w:cs="Arial"/>
          <w:sz w:val="22"/>
          <w:szCs w:val="22"/>
          <w:lang w:eastAsia="en-GB"/>
        </w:rPr>
        <w:t>1</w:t>
      </w:r>
      <w:r w:rsidRPr="0070731A">
        <w:rPr>
          <w:rFonts w:cs="Arial"/>
          <w:sz w:val="22"/>
          <w:szCs w:val="22"/>
          <w:lang w:eastAsia="en-GB"/>
        </w:rPr>
        <w:t xml:space="preserve"> sites, comprising </w:t>
      </w:r>
      <w:r w:rsidRPr="0070731A">
        <w:rPr>
          <w:rFonts w:cs="Arial"/>
          <w:b/>
          <w:sz w:val="22"/>
          <w:szCs w:val="22"/>
          <w:lang w:eastAsia="en-GB"/>
        </w:rPr>
        <w:t>17</w:t>
      </w:r>
      <w:r w:rsidR="006E1B37">
        <w:rPr>
          <w:rFonts w:cs="Arial"/>
          <w:b/>
          <w:sz w:val="22"/>
          <w:szCs w:val="22"/>
          <w:lang w:eastAsia="en-GB"/>
        </w:rPr>
        <w:t>5</w:t>
      </w:r>
      <w:r w:rsidRPr="0070731A">
        <w:rPr>
          <w:rFonts w:cs="Arial"/>
          <w:b/>
          <w:sz w:val="22"/>
          <w:szCs w:val="22"/>
          <w:lang w:eastAsia="en-GB"/>
        </w:rPr>
        <w:t>.</w:t>
      </w:r>
      <w:r w:rsidR="006E1B37">
        <w:rPr>
          <w:rFonts w:cs="Arial"/>
          <w:b/>
          <w:sz w:val="22"/>
          <w:szCs w:val="22"/>
          <w:lang w:eastAsia="en-GB"/>
        </w:rPr>
        <w:t>29</w:t>
      </w:r>
      <w:r w:rsidRPr="0070731A">
        <w:rPr>
          <w:rFonts w:cs="Arial"/>
          <w:b/>
          <w:sz w:val="22"/>
          <w:szCs w:val="22"/>
          <w:lang w:eastAsia="en-GB"/>
        </w:rPr>
        <w:t xml:space="preserve"> ha</w:t>
      </w:r>
      <w:r w:rsidRPr="0070731A">
        <w:rPr>
          <w:rFonts w:cs="Arial"/>
          <w:sz w:val="22"/>
          <w:szCs w:val="22"/>
          <w:lang w:eastAsia="en-GB"/>
        </w:rPr>
        <w:t xml:space="preserve"> split</w:t>
      </w:r>
      <w:r>
        <w:rPr>
          <w:rFonts w:cs="Arial"/>
          <w:sz w:val="22"/>
          <w:szCs w:val="22"/>
          <w:lang w:eastAsia="en-GB"/>
        </w:rPr>
        <w:t xml:space="preserve"> for:</w:t>
      </w:r>
    </w:p>
    <w:p w:rsidR="0000665C" w:rsidRPr="0070731A" w:rsidRDefault="0000665C" w:rsidP="0000665C">
      <w:pPr>
        <w:autoSpaceDE w:val="0"/>
        <w:autoSpaceDN w:val="0"/>
        <w:adjustRightInd w:val="0"/>
        <w:spacing w:line="280" w:lineRule="atLeast"/>
        <w:rPr>
          <w:rFonts w:cs="Arial"/>
          <w:sz w:val="22"/>
          <w:szCs w:val="22"/>
          <w:lang w:eastAsia="en-GB"/>
        </w:rPr>
      </w:pPr>
      <w:r>
        <w:rPr>
          <w:rFonts w:cs="Arial"/>
          <w:sz w:val="22"/>
          <w:szCs w:val="22"/>
          <w:lang w:eastAsia="en-GB"/>
        </w:rPr>
        <w:t xml:space="preserve"> </w:t>
      </w:r>
    </w:p>
    <w:p w:rsidR="0000665C" w:rsidRPr="0070731A" w:rsidRDefault="0000665C" w:rsidP="0000665C">
      <w:pPr>
        <w:autoSpaceDE w:val="0"/>
        <w:autoSpaceDN w:val="0"/>
        <w:adjustRightInd w:val="0"/>
        <w:spacing w:line="280" w:lineRule="atLeast"/>
        <w:ind w:left="567"/>
        <w:rPr>
          <w:rFonts w:cs="Arial"/>
          <w:sz w:val="22"/>
          <w:szCs w:val="22"/>
          <w:lang w:eastAsia="en-GB"/>
        </w:rPr>
      </w:pPr>
      <w:r w:rsidRPr="0070731A">
        <w:rPr>
          <w:rFonts w:cs="Arial"/>
          <w:sz w:val="22"/>
          <w:szCs w:val="22"/>
          <w:lang w:eastAsia="en-GB"/>
        </w:rPr>
        <w:t>• Chorley: 51.95 ha in 14 sites</w:t>
      </w:r>
    </w:p>
    <w:p w:rsidR="0000665C" w:rsidRPr="0070731A" w:rsidRDefault="0000665C" w:rsidP="0000665C">
      <w:pPr>
        <w:autoSpaceDE w:val="0"/>
        <w:autoSpaceDN w:val="0"/>
        <w:adjustRightInd w:val="0"/>
        <w:spacing w:line="280" w:lineRule="atLeast"/>
        <w:ind w:left="567"/>
        <w:rPr>
          <w:rFonts w:cs="Arial"/>
          <w:sz w:val="22"/>
          <w:szCs w:val="22"/>
          <w:lang w:eastAsia="en-GB"/>
        </w:rPr>
      </w:pPr>
      <w:r w:rsidRPr="0070731A">
        <w:rPr>
          <w:rFonts w:cs="Arial"/>
          <w:sz w:val="22"/>
          <w:szCs w:val="22"/>
          <w:lang w:eastAsia="en-GB"/>
        </w:rPr>
        <w:t>• Preston: 73.32 ha in 10 sites</w:t>
      </w:r>
    </w:p>
    <w:p w:rsidR="0000665C" w:rsidRDefault="0000665C" w:rsidP="0000665C">
      <w:pPr>
        <w:autoSpaceDE w:val="0"/>
        <w:autoSpaceDN w:val="0"/>
        <w:adjustRightInd w:val="0"/>
        <w:spacing w:line="280" w:lineRule="atLeast"/>
        <w:ind w:left="567"/>
        <w:rPr>
          <w:rFonts w:cs="Arial"/>
          <w:sz w:val="22"/>
          <w:szCs w:val="22"/>
          <w:lang w:eastAsia="en-GB"/>
        </w:rPr>
      </w:pPr>
      <w:r w:rsidRPr="0070731A">
        <w:rPr>
          <w:rFonts w:cs="Arial"/>
          <w:sz w:val="22"/>
          <w:szCs w:val="22"/>
          <w:lang w:eastAsia="en-GB"/>
        </w:rPr>
        <w:t>• South Ribble: 52.36 ha in 7 sites.</w:t>
      </w:r>
    </w:p>
    <w:p w:rsidR="0000665C" w:rsidRDefault="0000665C" w:rsidP="0000665C">
      <w:pPr>
        <w:autoSpaceDE w:val="0"/>
        <w:autoSpaceDN w:val="0"/>
        <w:adjustRightInd w:val="0"/>
        <w:spacing w:line="360" w:lineRule="auto"/>
        <w:ind w:left="567"/>
        <w:rPr>
          <w:rFonts w:cs="Arial"/>
          <w:sz w:val="22"/>
          <w:szCs w:val="22"/>
        </w:rPr>
      </w:pPr>
    </w:p>
    <w:p w:rsidR="00680A97" w:rsidRDefault="0000665C" w:rsidP="0000665C">
      <w:pPr>
        <w:spacing w:line="280" w:lineRule="atLeast"/>
        <w:ind w:left="567" w:hanging="567"/>
        <w:rPr>
          <w:rFonts w:cs="Arial"/>
          <w:sz w:val="22"/>
          <w:szCs w:val="22"/>
        </w:rPr>
      </w:pPr>
      <w:r>
        <w:rPr>
          <w:sz w:val="22"/>
        </w:rPr>
        <w:t>16.</w:t>
      </w:r>
      <w:r>
        <w:rPr>
          <w:sz w:val="22"/>
        </w:rPr>
        <w:tab/>
      </w:r>
      <w:r w:rsidRPr="007D5CE6">
        <w:rPr>
          <w:b/>
          <w:sz w:val="22"/>
        </w:rPr>
        <w:t xml:space="preserve">Recommendation </w:t>
      </w:r>
      <w:r>
        <w:rPr>
          <w:b/>
          <w:sz w:val="22"/>
        </w:rPr>
        <w:t>2</w:t>
      </w:r>
      <w:r w:rsidRPr="007D5CE6">
        <w:rPr>
          <w:b/>
          <w:sz w:val="22"/>
        </w:rPr>
        <w:t xml:space="preserve"> – Employment </w:t>
      </w:r>
      <w:r>
        <w:rPr>
          <w:b/>
          <w:sz w:val="22"/>
        </w:rPr>
        <w:t>Areas to Be Retained</w:t>
      </w:r>
      <w:r w:rsidRPr="007D5CE6">
        <w:rPr>
          <w:b/>
          <w:sz w:val="22"/>
        </w:rPr>
        <w:t>.</w:t>
      </w:r>
      <w:r>
        <w:rPr>
          <w:sz w:val="22"/>
        </w:rPr>
        <w:t xml:space="preserve"> </w:t>
      </w:r>
      <w:r w:rsidRPr="0000665C">
        <w:rPr>
          <w:rFonts w:cs="Arial"/>
          <w:sz w:val="22"/>
          <w:szCs w:val="22"/>
        </w:rPr>
        <w:t xml:space="preserve">This Study has undertaken an independent grading of 33 Employment Areas in Central Lancashire (including the Cuerden Strategic Site and Samlesbury Enterprize Zone). </w:t>
      </w:r>
      <w:r w:rsidR="00680A97">
        <w:rPr>
          <w:rFonts w:cs="Arial"/>
          <w:sz w:val="22"/>
          <w:szCs w:val="22"/>
        </w:rPr>
        <w:t xml:space="preserve">The following sites in </w:t>
      </w:r>
      <w:r w:rsidRPr="0000665C">
        <w:rPr>
          <w:rFonts w:cs="Arial"/>
          <w:sz w:val="22"/>
          <w:szCs w:val="22"/>
        </w:rPr>
        <w:t>Chorley</w:t>
      </w:r>
      <w:r w:rsidR="00680A97">
        <w:rPr>
          <w:rFonts w:cs="Arial"/>
          <w:sz w:val="22"/>
          <w:szCs w:val="22"/>
        </w:rPr>
        <w:t xml:space="preserve">, South Ribble and Preston </w:t>
      </w:r>
      <w:r w:rsidRPr="0000665C">
        <w:rPr>
          <w:rFonts w:cs="Arial"/>
          <w:sz w:val="22"/>
          <w:szCs w:val="22"/>
        </w:rPr>
        <w:t>locations are above average in quality and could be designated as ‘Key’ or ‘Best Urban’ sites</w:t>
      </w:r>
      <w:r w:rsidR="00680A97">
        <w:rPr>
          <w:rFonts w:cs="Arial"/>
          <w:sz w:val="22"/>
          <w:szCs w:val="22"/>
        </w:rPr>
        <w:t>:</w:t>
      </w:r>
    </w:p>
    <w:p w:rsidR="00680A97" w:rsidRPr="009C1DC7" w:rsidRDefault="00680A97" w:rsidP="0000665C">
      <w:pPr>
        <w:spacing w:line="280" w:lineRule="atLeast"/>
        <w:ind w:left="567" w:hanging="567"/>
        <w:rPr>
          <w:rFonts w:cs="Arial"/>
          <w:sz w:val="16"/>
          <w:szCs w:val="16"/>
        </w:rPr>
      </w:pPr>
    </w:p>
    <w:tbl>
      <w:tblPr>
        <w:tblStyle w:val="TableGrid"/>
        <w:tblW w:w="0" w:type="auto"/>
        <w:tblInd w:w="567" w:type="dxa"/>
        <w:tblLayout w:type="fixed"/>
        <w:tblLook w:val="04A0" w:firstRow="1" w:lastRow="0" w:firstColumn="1" w:lastColumn="0" w:noHBand="0" w:noVBand="1"/>
      </w:tblPr>
      <w:tblGrid>
        <w:gridCol w:w="3085"/>
        <w:gridCol w:w="2977"/>
        <w:gridCol w:w="3226"/>
      </w:tblGrid>
      <w:tr w:rsidR="00680A97" w:rsidTr="009C1DC7">
        <w:tc>
          <w:tcPr>
            <w:tcW w:w="3085" w:type="dxa"/>
          </w:tcPr>
          <w:p w:rsidR="00680A97" w:rsidRDefault="00680A97" w:rsidP="0000665C">
            <w:pPr>
              <w:spacing w:line="280" w:lineRule="atLeast"/>
              <w:rPr>
                <w:rFonts w:cs="Arial"/>
                <w:sz w:val="22"/>
                <w:szCs w:val="22"/>
              </w:rPr>
            </w:pPr>
            <w:r>
              <w:rPr>
                <w:rFonts w:cs="Arial"/>
                <w:sz w:val="22"/>
                <w:szCs w:val="22"/>
              </w:rPr>
              <w:t>Chorley</w:t>
            </w:r>
          </w:p>
        </w:tc>
        <w:tc>
          <w:tcPr>
            <w:tcW w:w="2977" w:type="dxa"/>
          </w:tcPr>
          <w:p w:rsidR="00680A97" w:rsidRDefault="00680A97" w:rsidP="0000665C">
            <w:pPr>
              <w:spacing w:line="280" w:lineRule="atLeast"/>
              <w:rPr>
                <w:rFonts w:cs="Arial"/>
                <w:sz w:val="22"/>
                <w:szCs w:val="22"/>
              </w:rPr>
            </w:pPr>
            <w:r>
              <w:rPr>
                <w:rFonts w:cs="Arial"/>
                <w:sz w:val="22"/>
                <w:szCs w:val="22"/>
              </w:rPr>
              <w:t xml:space="preserve">South Ribble </w:t>
            </w:r>
          </w:p>
        </w:tc>
        <w:tc>
          <w:tcPr>
            <w:tcW w:w="3226" w:type="dxa"/>
          </w:tcPr>
          <w:p w:rsidR="00680A97" w:rsidRDefault="00680A97" w:rsidP="0000665C">
            <w:pPr>
              <w:spacing w:line="280" w:lineRule="atLeast"/>
              <w:rPr>
                <w:rFonts w:cs="Arial"/>
                <w:sz w:val="22"/>
                <w:szCs w:val="22"/>
              </w:rPr>
            </w:pPr>
            <w:r>
              <w:rPr>
                <w:rFonts w:cs="Arial"/>
                <w:sz w:val="22"/>
                <w:szCs w:val="22"/>
              </w:rPr>
              <w:t xml:space="preserve">Preston </w:t>
            </w:r>
          </w:p>
        </w:tc>
      </w:tr>
      <w:tr w:rsidR="00680A97" w:rsidTr="009C1DC7">
        <w:tc>
          <w:tcPr>
            <w:tcW w:w="3085" w:type="dxa"/>
          </w:tcPr>
          <w:p w:rsidR="00680A97" w:rsidRPr="004D3693" w:rsidRDefault="00680A97" w:rsidP="00680A97">
            <w:pPr>
              <w:pStyle w:val="ListParagraph"/>
              <w:numPr>
                <w:ilvl w:val="0"/>
                <w:numId w:val="20"/>
              </w:numPr>
              <w:spacing w:line="280" w:lineRule="atLeast"/>
              <w:ind w:left="567" w:hanging="567"/>
              <w:contextualSpacing/>
              <w:rPr>
                <w:rFonts w:cs="Arial"/>
                <w:sz w:val="22"/>
                <w:szCs w:val="22"/>
              </w:rPr>
            </w:pPr>
            <w:r w:rsidRPr="004D3693">
              <w:rPr>
                <w:rFonts w:cs="Arial"/>
                <w:sz w:val="22"/>
                <w:szCs w:val="22"/>
              </w:rPr>
              <w:t xml:space="preserve">Common Bank Area, </w:t>
            </w:r>
          </w:p>
          <w:p w:rsidR="00680A97" w:rsidRPr="004D3693" w:rsidRDefault="00680A97" w:rsidP="00680A97">
            <w:pPr>
              <w:pStyle w:val="ListParagraph"/>
              <w:numPr>
                <w:ilvl w:val="0"/>
                <w:numId w:val="21"/>
              </w:numPr>
              <w:spacing w:line="280" w:lineRule="atLeast"/>
              <w:ind w:hanging="567"/>
              <w:contextualSpacing/>
              <w:rPr>
                <w:rFonts w:cs="Arial"/>
                <w:sz w:val="22"/>
                <w:szCs w:val="22"/>
              </w:rPr>
            </w:pPr>
            <w:r w:rsidRPr="004D3693">
              <w:rPr>
                <w:rFonts w:cs="Arial"/>
                <w:sz w:val="22"/>
                <w:szCs w:val="22"/>
              </w:rPr>
              <w:t>Ackhurst Business Park</w:t>
            </w:r>
          </w:p>
          <w:p w:rsidR="00680A97" w:rsidRPr="004D3693" w:rsidRDefault="00680A97" w:rsidP="00680A97">
            <w:pPr>
              <w:pStyle w:val="ListParagraph"/>
              <w:numPr>
                <w:ilvl w:val="0"/>
                <w:numId w:val="21"/>
              </w:numPr>
              <w:spacing w:line="280" w:lineRule="atLeast"/>
              <w:ind w:hanging="567"/>
              <w:contextualSpacing/>
              <w:rPr>
                <w:rFonts w:cs="Arial"/>
                <w:sz w:val="22"/>
                <w:szCs w:val="22"/>
              </w:rPr>
            </w:pPr>
            <w:r w:rsidRPr="004D3693">
              <w:rPr>
                <w:rFonts w:cs="Arial"/>
                <w:sz w:val="22"/>
                <w:szCs w:val="22"/>
              </w:rPr>
              <w:t>Chorley Business and Technology Park, Euxton</w:t>
            </w:r>
          </w:p>
          <w:p w:rsidR="00680A97" w:rsidRPr="004D3693" w:rsidRDefault="00680A97" w:rsidP="009C1DC7">
            <w:pPr>
              <w:pStyle w:val="ListParagraph"/>
              <w:numPr>
                <w:ilvl w:val="0"/>
                <w:numId w:val="21"/>
              </w:numPr>
              <w:spacing w:line="280" w:lineRule="atLeast"/>
              <w:ind w:hanging="567"/>
              <w:contextualSpacing/>
              <w:rPr>
                <w:rFonts w:cs="Arial"/>
                <w:sz w:val="22"/>
                <w:szCs w:val="22"/>
              </w:rPr>
            </w:pPr>
            <w:r w:rsidRPr="004D3693">
              <w:rPr>
                <w:rFonts w:cs="Arial"/>
                <w:sz w:val="22"/>
                <w:szCs w:val="22"/>
              </w:rPr>
              <w:t>Momentum/Southern Commercial Area/Revolution, Buckshaw Village</w:t>
            </w:r>
          </w:p>
        </w:tc>
        <w:tc>
          <w:tcPr>
            <w:tcW w:w="2977" w:type="dxa"/>
          </w:tcPr>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Emp. Area 2: Sceptre Way, Bamber Bridge</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Emp. Area 3: Walton Summit Employment Area</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Emp. Area 8: Aston Moss, Leyland</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Emp. Area 10: Lancashire (Enterprises) Business Park, Farington</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Emp. Area 11: Moss Side Employment Area, Leyland</w:t>
            </w:r>
          </w:p>
          <w:p w:rsidR="009C1DC7" w:rsidRPr="004D3693" w:rsidRDefault="009C1DC7" w:rsidP="009C1DC7">
            <w:pPr>
              <w:pStyle w:val="ListParagraph"/>
              <w:numPr>
                <w:ilvl w:val="0"/>
                <w:numId w:val="21"/>
              </w:numPr>
              <w:spacing w:line="280" w:lineRule="atLeast"/>
              <w:ind w:left="317" w:hanging="317"/>
              <w:rPr>
                <w:rFonts w:cs="Arial"/>
                <w:sz w:val="22"/>
                <w:szCs w:val="22"/>
              </w:rPr>
            </w:pPr>
            <w:r w:rsidRPr="004D3693">
              <w:rPr>
                <w:rFonts w:cs="Arial"/>
                <w:bCs/>
                <w:sz w:val="22"/>
                <w:szCs w:val="22"/>
                <w:lang w:eastAsia="en-GB"/>
              </w:rPr>
              <w:t>Emp. Area 18: Matrix Park, Buckshaw Village.</w:t>
            </w:r>
          </w:p>
          <w:p w:rsidR="00C046A4" w:rsidRPr="004D3693" w:rsidRDefault="00C046A4" w:rsidP="00C046A4">
            <w:pPr>
              <w:autoSpaceDE w:val="0"/>
              <w:autoSpaceDN w:val="0"/>
              <w:adjustRightInd w:val="0"/>
              <w:jc w:val="left"/>
              <w:rPr>
                <w:rFonts w:cs="Arial"/>
                <w:b/>
                <w:bCs/>
                <w:sz w:val="16"/>
                <w:szCs w:val="16"/>
                <w:lang w:eastAsia="en-GB"/>
              </w:rPr>
            </w:pPr>
          </w:p>
          <w:p w:rsidR="00C046A4" w:rsidRPr="004D3693" w:rsidRDefault="00C046A4" w:rsidP="00C046A4">
            <w:pPr>
              <w:autoSpaceDE w:val="0"/>
              <w:autoSpaceDN w:val="0"/>
              <w:adjustRightInd w:val="0"/>
              <w:jc w:val="left"/>
              <w:rPr>
                <w:rFonts w:cs="Arial"/>
                <w:sz w:val="22"/>
                <w:szCs w:val="22"/>
              </w:rPr>
            </w:pPr>
            <w:r w:rsidRPr="004D3693">
              <w:rPr>
                <w:rFonts w:cs="Arial"/>
                <w:bCs/>
                <w:sz w:val="22"/>
                <w:szCs w:val="22"/>
                <w:lang w:eastAsia="en-GB"/>
              </w:rPr>
              <w:t xml:space="preserve">At the strategic level, the Samlesbury Enterprise </w:t>
            </w:r>
            <w:r w:rsidRPr="004D3693">
              <w:rPr>
                <w:rFonts w:cs="Arial"/>
                <w:bCs/>
                <w:sz w:val="22"/>
                <w:szCs w:val="22"/>
                <w:lang w:eastAsia="en-GB"/>
              </w:rPr>
              <w:lastRenderedPageBreak/>
              <w:t>Zone and BAE facility, plus the Cuerden Strategic Site, when delivered, could also be included in this list.</w:t>
            </w:r>
          </w:p>
        </w:tc>
        <w:tc>
          <w:tcPr>
            <w:tcW w:w="3226" w:type="dxa"/>
          </w:tcPr>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lastRenderedPageBreak/>
              <w:t>ELR No 1: Millennium Business Park</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7: Preston East Employment Area</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19: Mondiboard, Longridge Road</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27: Bow Lane</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28: Riversway A – Portway/West Strand</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30: North Preston Employment Area</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54: Winckley Square/ Chapel Street</w:t>
            </w:r>
          </w:p>
          <w:p w:rsidR="009C1DC7" w:rsidRPr="004D3693" w:rsidRDefault="009C1DC7" w:rsidP="009C1DC7">
            <w:pPr>
              <w:pStyle w:val="ListParagraph"/>
              <w:numPr>
                <w:ilvl w:val="0"/>
                <w:numId w:val="21"/>
              </w:numPr>
              <w:spacing w:line="280" w:lineRule="atLeast"/>
              <w:ind w:left="317" w:hanging="317"/>
              <w:rPr>
                <w:rFonts w:cs="Arial"/>
                <w:sz w:val="22"/>
                <w:szCs w:val="22"/>
              </w:rPr>
            </w:pPr>
            <w:r w:rsidRPr="004D3693">
              <w:rPr>
                <w:rFonts w:cs="Arial"/>
                <w:bCs/>
                <w:sz w:val="22"/>
                <w:szCs w:val="22"/>
                <w:lang w:eastAsia="en-GB"/>
              </w:rPr>
              <w:t>ELR No 65: Winckley Square (SW)/East Cliff</w:t>
            </w:r>
          </w:p>
          <w:p w:rsidR="009C1DC7" w:rsidRPr="004D3693" w:rsidRDefault="009C1DC7" w:rsidP="009C1DC7">
            <w:pPr>
              <w:pStyle w:val="ListParagraph"/>
              <w:numPr>
                <w:ilvl w:val="0"/>
                <w:numId w:val="21"/>
              </w:numPr>
              <w:autoSpaceDE w:val="0"/>
              <w:autoSpaceDN w:val="0"/>
              <w:adjustRightInd w:val="0"/>
              <w:ind w:left="317" w:hanging="317"/>
              <w:jc w:val="left"/>
              <w:rPr>
                <w:rFonts w:cs="Arial"/>
                <w:bCs/>
                <w:sz w:val="22"/>
                <w:szCs w:val="22"/>
                <w:lang w:eastAsia="en-GB"/>
              </w:rPr>
            </w:pPr>
            <w:r w:rsidRPr="004D3693">
              <w:rPr>
                <w:rFonts w:cs="Arial"/>
                <w:bCs/>
                <w:sz w:val="22"/>
                <w:szCs w:val="22"/>
                <w:lang w:eastAsia="en-GB"/>
              </w:rPr>
              <w:t>ELR No 66: Winckley Square (South and East)/Cross Street</w:t>
            </w:r>
          </w:p>
          <w:p w:rsidR="00680A97" w:rsidRPr="004D3693" w:rsidRDefault="009C1DC7" w:rsidP="009C1DC7">
            <w:pPr>
              <w:pStyle w:val="ListParagraph"/>
              <w:numPr>
                <w:ilvl w:val="0"/>
                <w:numId w:val="21"/>
              </w:numPr>
              <w:spacing w:line="280" w:lineRule="atLeast"/>
              <w:ind w:left="317" w:hanging="317"/>
              <w:rPr>
                <w:rFonts w:cs="Arial"/>
                <w:sz w:val="22"/>
                <w:szCs w:val="22"/>
              </w:rPr>
            </w:pPr>
            <w:r w:rsidRPr="004D3693">
              <w:rPr>
                <w:rFonts w:cs="Arial"/>
                <w:bCs/>
                <w:sz w:val="22"/>
                <w:szCs w:val="22"/>
                <w:lang w:eastAsia="en-GB"/>
              </w:rPr>
              <w:lastRenderedPageBreak/>
              <w:t>ELR No 84: West Strand/ Marsh Lane.</w:t>
            </w:r>
          </w:p>
        </w:tc>
      </w:tr>
    </w:tbl>
    <w:p w:rsidR="00680A97" w:rsidRDefault="00680A97" w:rsidP="0000665C">
      <w:pPr>
        <w:spacing w:line="280" w:lineRule="atLeast"/>
        <w:ind w:left="567" w:hanging="567"/>
        <w:rPr>
          <w:rFonts w:cs="Arial"/>
          <w:sz w:val="22"/>
          <w:szCs w:val="22"/>
        </w:rPr>
      </w:pPr>
    </w:p>
    <w:p w:rsidR="0000665C" w:rsidRPr="0000665C" w:rsidRDefault="0000665C" w:rsidP="0000665C">
      <w:pPr>
        <w:autoSpaceDE w:val="0"/>
        <w:autoSpaceDN w:val="0"/>
        <w:adjustRightInd w:val="0"/>
        <w:spacing w:line="280" w:lineRule="atLeast"/>
        <w:ind w:hanging="567"/>
        <w:rPr>
          <w:rFonts w:cs="Arial"/>
          <w:bCs/>
          <w:sz w:val="22"/>
          <w:szCs w:val="22"/>
          <w:lang w:eastAsia="en-GB"/>
        </w:rPr>
      </w:pPr>
      <w:bookmarkStart w:id="3" w:name="_Hlk490643272"/>
      <w:r w:rsidRPr="0000665C">
        <w:rPr>
          <w:rFonts w:cs="Arial"/>
          <w:b/>
          <w:sz w:val="22"/>
          <w:szCs w:val="22"/>
        </w:rPr>
        <w:tab/>
      </w:r>
    </w:p>
    <w:p w:rsidR="00C046A4" w:rsidRPr="00F35C14" w:rsidRDefault="0000665C" w:rsidP="00F35C14">
      <w:pPr>
        <w:autoSpaceDE w:val="0"/>
        <w:autoSpaceDN w:val="0"/>
        <w:adjustRightInd w:val="0"/>
        <w:spacing w:line="280" w:lineRule="atLeast"/>
        <w:ind w:left="567" w:hanging="567"/>
        <w:rPr>
          <w:rFonts w:cs="Arial"/>
          <w:bCs/>
          <w:sz w:val="22"/>
          <w:szCs w:val="22"/>
          <w:lang w:eastAsia="en-GB"/>
        </w:rPr>
      </w:pPr>
      <w:r w:rsidRPr="0000665C">
        <w:rPr>
          <w:rFonts w:cs="Arial"/>
          <w:bCs/>
          <w:sz w:val="22"/>
          <w:szCs w:val="22"/>
          <w:lang w:eastAsia="en-GB"/>
        </w:rPr>
        <w:t>17.</w:t>
      </w:r>
      <w:r w:rsidRPr="0000665C">
        <w:rPr>
          <w:rFonts w:cs="Arial"/>
          <w:bCs/>
          <w:sz w:val="22"/>
          <w:szCs w:val="22"/>
          <w:lang w:eastAsia="en-GB"/>
        </w:rPr>
        <w:tab/>
      </w:r>
      <w:bookmarkEnd w:id="3"/>
      <w:r w:rsidR="00C046A4" w:rsidRPr="00F35C14">
        <w:rPr>
          <w:rFonts w:cs="Arial"/>
          <w:bCs/>
          <w:sz w:val="22"/>
          <w:szCs w:val="22"/>
          <w:lang w:eastAsia="en-GB"/>
        </w:rPr>
        <w:t>Within the Best Urban Employment Areas, only applications for B-Class use</w:t>
      </w:r>
      <w:r w:rsidR="009C2F91" w:rsidRPr="00F35C14">
        <w:rPr>
          <w:rFonts w:cs="Arial"/>
          <w:bCs/>
          <w:sz w:val="22"/>
          <w:szCs w:val="22"/>
          <w:lang w:eastAsia="en-GB"/>
        </w:rPr>
        <w:t xml:space="preserve"> </w:t>
      </w:r>
      <w:r w:rsidR="00C046A4" w:rsidRPr="00F35C14">
        <w:rPr>
          <w:rFonts w:cs="Arial"/>
          <w:bCs/>
          <w:sz w:val="22"/>
          <w:szCs w:val="22"/>
          <w:lang w:eastAsia="en-GB"/>
        </w:rPr>
        <w:t>should generally be permitted. Non-B Class uses should only be allowed if</w:t>
      </w:r>
      <w:r w:rsidR="009C2F91" w:rsidRPr="00F35C14">
        <w:rPr>
          <w:rFonts w:cs="Arial"/>
          <w:bCs/>
          <w:sz w:val="22"/>
          <w:szCs w:val="22"/>
          <w:lang w:eastAsia="en-GB"/>
        </w:rPr>
        <w:t xml:space="preserve"> </w:t>
      </w:r>
      <w:r w:rsidR="00C046A4" w:rsidRPr="00F35C14">
        <w:rPr>
          <w:rFonts w:cs="Arial"/>
          <w:bCs/>
          <w:sz w:val="22"/>
          <w:szCs w:val="22"/>
          <w:lang w:eastAsia="en-GB"/>
        </w:rPr>
        <w:t>unless strongly justified and it is proved that the proposals will not have a</w:t>
      </w:r>
      <w:r w:rsidR="009C2F91" w:rsidRPr="00F35C14">
        <w:rPr>
          <w:rFonts w:cs="Arial"/>
          <w:bCs/>
          <w:sz w:val="22"/>
          <w:szCs w:val="22"/>
          <w:lang w:eastAsia="en-GB"/>
        </w:rPr>
        <w:t xml:space="preserve"> </w:t>
      </w:r>
      <w:r w:rsidR="00C046A4" w:rsidRPr="00F35C14">
        <w:rPr>
          <w:rFonts w:cs="Arial"/>
          <w:bCs/>
          <w:sz w:val="22"/>
          <w:szCs w:val="22"/>
          <w:lang w:eastAsia="en-GB"/>
        </w:rPr>
        <w:t>significant adverse impact on surrounding local uses. It is accepted that on rare</w:t>
      </w:r>
      <w:r w:rsidR="009C2F91" w:rsidRPr="00F35C14">
        <w:rPr>
          <w:rFonts w:cs="Arial"/>
          <w:bCs/>
          <w:sz w:val="22"/>
          <w:szCs w:val="22"/>
          <w:lang w:eastAsia="en-GB"/>
        </w:rPr>
        <w:t xml:space="preserve"> </w:t>
      </w:r>
      <w:r w:rsidR="00C046A4" w:rsidRPr="00F35C14">
        <w:rPr>
          <w:rFonts w:cs="Arial"/>
          <w:bCs/>
          <w:sz w:val="22"/>
          <w:szCs w:val="22"/>
          <w:lang w:eastAsia="en-GB"/>
        </w:rPr>
        <w:t>occasions some exceptions may have to be made, for example to provide for</w:t>
      </w:r>
      <w:r w:rsidR="009C2F91" w:rsidRPr="00F35C14">
        <w:rPr>
          <w:rFonts w:cs="Arial"/>
          <w:bCs/>
          <w:sz w:val="22"/>
          <w:szCs w:val="22"/>
          <w:lang w:eastAsia="en-GB"/>
        </w:rPr>
        <w:t xml:space="preserve"> </w:t>
      </w:r>
      <w:r w:rsidR="00C046A4" w:rsidRPr="00F35C14">
        <w:rPr>
          <w:rFonts w:cs="Arial"/>
          <w:bCs/>
          <w:sz w:val="22"/>
          <w:szCs w:val="22"/>
          <w:lang w:eastAsia="en-GB"/>
        </w:rPr>
        <w:t>complimentary services, or where a site such a Cuerden is established for a mix</w:t>
      </w:r>
      <w:r w:rsidR="009C2F91" w:rsidRPr="00F35C14">
        <w:rPr>
          <w:rFonts w:cs="Arial"/>
          <w:bCs/>
          <w:sz w:val="22"/>
          <w:szCs w:val="22"/>
          <w:lang w:eastAsia="en-GB"/>
        </w:rPr>
        <w:t xml:space="preserve"> </w:t>
      </w:r>
      <w:r w:rsidR="00C046A4" w:rsidRPr="00F35C14">
        <w:rPr>
          <w:rFonts w:cs="Arial"/>
          <w:bCs/>
          <w:sz w:val="22"/>
          <w:szCs w:val="22"/>
          <w:lang w:eastAsia="en-GB"/>
        </w:rPr>
        <w:t xml:space="preserve">of uses. Other circumstances which might justify such a </w:t>
      </w:r>
      <w:r w:rsidR="00E420F5" w:rsidRPr="00F35C14">
        <w:rPr>
          <w:rFonts w:cs="Arial"/>
          <w:bCs/>
          <w:sz w:val="22"/>
          <w:szCs w:val="22"/>
          <w:lang w:eastAsia="en-GB"/>
        </w:rPr>
        <w:t>change</w:t>
      </w:r>
      <w:r w:rsidR="00C046A4" w:rsidRPr="00F35C14">
        <w:rPr>
          <w:rFonts w:cs="Arial"/>
          <w:bCs/>
          <w:sz w:val="22"/>
          <w:szCs w:val="22"/>
          <w:lang w:eastAsia="en-GB"/>
        </w:rPr>
        <w:t xml:space="preserve"> could include:</w:t>
      </w:r>
    </w:p>
    <w:p w:rsidR="00C046A4" w:rsidRPr="00F35C14" w:rsidRDefault="00C046A4" w:rsidP="00F35C14">
      <w:pPr>
        <w:autoSpaceDE w:val="0"/>
        <w:autoSpaceDN w:val="0"/>
        <w:adjustRightInd w:val="0"/>
        <w:spacing w:line="280" w:lineRule="atLeast"/>
        <w:ind w:left="1134" w:hanging="567"/>
        <w:rPr>
          <w:rFonts w:cs="Arial"/>
          <w:bCs/>
          <w:sz w:val="22"/>
          <w:szCs w:val="22"/>
          <w:lang w:eastAsia="en-GB"/>
        </w:rPr>
      </w:pPr>
      <w:r w:rsidRPr="00F35C14">
        <w:rPr>
          <w:rFonts w:cs="Arial"/>
          <w:sz w:val="22"/>
          <w:szCs w:val="22"/>
          <w:lang w:eastAsia="en-GB"/>
        </w:rPr>
        <w:t xml:space="preserve">• </w:t>
      </w:r>
      <w:r w:rsidR="009C2F91" w:rsidRPr="00F35C14">
        <w:rPr>
          <w:rFonts w:cs="Arial"/>
          <w:sz w:val="22"/>
          <w:szCs w:val="22"/>
          <w:lang w:eastAsia="en-GB"/>
        </w:rPr>
        <w:t xml:space="preserve">  </w:t>
      </w:r>
      <w:r w:rsidRPr="00F35C14">
        <w:rPr>
          <w:rFonts w:cs="Arial"/>
          <w:bCs/>
          <w:sz w:val="22"/>
          <w:szCs w:val="22"/>
          <w:lang w:eastAsia="en-GB"/>
        </w:rPr>
        <w:t>Delivery of a broader strategy of economic development or urban</w:t>
      </w:r>
      <w:r w:rsidR="009C2F91" w:rsidRPr="00F35C14">
        <w:rPr>
          <w:rFonts w:cs="Arial"/>
          <w:bCs/>
          <w:sz w:val="22"/>
          <w:szCs w:val="22"/>
          <w:lang w:eastAsia="en-GB"/>
        </w:rPr>
        <w:t xml:space="preserve"> </w:t>
      </w:r>
      <w:r w:rsidRPr="00F35C14">
        <w:rPr>
          <w:rFonts w:cs="Arial"/>
          <w:bCs/>
          <w:sz w:val="22"/>
          <w:szCs w:val="22"/>
          <w:lang w:eastAsia="en-GB"/>
        </w:rPr>
        <w:t>regeneration</w:t>
      </w:r>
    </w:p>
    <w:p w:rsidR="00C046A4" w:rsidRPr="00F35C14" w:rsidRDefault="00C046A4" w:rsidP="00F35C14">
      <w:pPr>
        <w:autoSpaceDE w:val="0"/>
        <w:autoSpaceDN w:val="0"/>
        <w:adjustRightInd w:val="0"/>
        <w:spacing w:line="280" w:lineRule="atLeast"/>
        <w:ind w:left="851" w:hanging="284"/>
        <w:rPr>
          <w:rFonts w:cs="Arial"/>
          <w:bCs/>
          <w:sz w:val="22"/>
          <w:szCs w:val="22"/>
          <w:lang w:eastAsia="en-GB"/>
        </w:rPr>
      </w:pPr>
      <w:r w:rsidRPr="00F35C14">
        <w:rPr>
          <w:rFonts w:cs="Arial"/>
          <w:sz w:val="22"/>
          <w:szCs w:val="22"/>
          <w:lang w:eastAsia="en-GB"/>
        </w:rPr>
        <w:t xml:space="preserve">• </w:t>
      </w:r>
      <w:r w:rsidRPr="00F35C14">
        <w:rPr>
          <w:rFonts w:cs="Arial"/>
          <w:bCs/>
          <w:sz w:val="22"/>
          <w:szCs w:val="22"/>
          <w:lang w:eastAsia="en-GB"/>
        </w:rPr>
        <w:t>If the alternative use delivers significant community and/or</w:t>
      </w:r>
      <w:r w:rsidR="009C2F91" w:rsidRPr="00F35C14">
        <w:rPr>
          <w:rFonts w:cs="Arial"/>
          <w:bCs/>
          <w:sz w:val="22"/>
          <w:szCs w:val="22"/>
          <w:lang w:eastAsia="en-GB"/>
        </w:rPr>
        <w:t xml:space="preserve"> </w:t>
      </w:r>
      <w:r w:rsidRPr="00F35C14">
        <w:rPr>
          <w:rFonts w:cs="Arial"/>
          <w:bCs/>
          <w:sz w:val="22"/>
          <w:szCs w:val="22"/>
          <w:lang w:eastAsia="en-GB"/>
        </w:rPr>
        <w:t>employment/skills value compared to uses already present</w:t>
      </w:r>
    </w:p>
    <w:p w:rsidR="0000665C" w:rsidRPr="00F35C14" w:rsidRDefault="00C046A4" w:rsidP="00F35C14">
      <w:pPr>
        <w:autoSpaceDE w:val="0"/>
        <w:autoSpaceDN w:val="0"/>
        <w:adjustRightInd w:val="0"/>
        <w:spacing w:line="280" w:lineRule="atLeast"/>
        <w:ind w:left="851" w:hanging="284"/>
        <w:rPr>
          <w:rFonts w:cs="Arial"/>
          <w:bCs/>
          <w:sz w:val="22"/>
          <w:szCs w:val="22"/>
          <w:lang w:eastAsia="en-GB"/>
        </w:rPr>
      </w:pPr>
      <w:r w:rsidRPr="00F35C14">
        <w:rPr>
          <w:rFonts w:cs="Arial"/>
          <w:sz w:val="22"/>
          <w:szCs w:val="22"/>
          <w:lang w:eastAsia="en-GB"/>
        </w:rPr>
        <w:t xml:space="preserve">• </w:t>
      </w:r>
      <w:r w:rsidRPr="00F35C14">
        <w:rPr>
          <w:rFonts w:cs="Arial"/>
          <w:bCs/>
          <w:sz w:val="22"/>
          <w:szCs w:val="22"/>
          <w:lang w:eastAsia="en-GB"/>
        </w:rPr>
        <w:t>If the Local Authority Area lacks dedicated high quality locations for uses</w:t>
      </w:r>
      <w:r w:rsidR="009C2F91" w:rsidRPr="00F35C14">
        <w:rPr>
          <w:rFonts w:cs="Arial"/>
          <w:bCs/>
          <w:sz w:val="22"/>
          <w:szCs w:val="22"/>
          <w:lang w:eastAsia="en-GB"/>
        </w:rPr>
        <w:t xml:space="preserve"> </w:t>
      </w:r>
      <w:r w:rsidRPr="00F35C14">
        <w:rPr>
          <w:rFonts w:cs="Arial"/>
          <w:bCs/>
          <w:sz w:val="22"/>
          <w:szCs w:val="22"/>
          <w:lang w:eastAsia="en-GB"/>
        </w:rPr>
        <w:t>such as trade/motor trade, and there are no viable alternative sites.</w:t>
      </w:r>
    </w:p>
    <w:p w:rsidR="009C2F91" w:rsidRPr="00C046A4" w:rsidRDefault="009C2F91" w:rsidP="009C2F91">
      <w:pPr>
        <w:autoSpaceDE w:val="0"/>
        <w:autoSpaceDN w:val="0"/>
        <w:adjustRightInd w:val="0"/>
        <w:ind w:left="851" w:hanging="284"/>
        <w:rPr>
          <w:rFonts w:cs="Arial"/>
          <w:sz w:val="22"/>
        </w:rPr>
      </w:pPr>
    </w:p>
    <w:p w:rsidR="0000665C" w:rsidRDefault="0000665C" w:rsidP="00F35C14">
      <w:pPr>
        <w:autoSpaceDE w:val="0"/>
        <w:autoSpaceDN w:val="0"/>
        <w:adjustRightInd w:val="0"/>
        <w:spacing w:line="280" w:lineRule="atLeast"/>
        <w:ind w:hanging="567"/>
        <w:rPr>
          <w:rFonts w:cs="Arial"/>
          <w:bCs/>
          <w:sz w:val="22"/>
          <w:szCs w:val="22"/>
          <w:lang w:eastAsia="en-GB"/>
        </w:rPr>
      </w:pPr>
      <w:r>
        <w:rPr>
          <w:sz w:val="22"/>
        </w:rPr>
        <w:tab/>
        <w:t xml:space="preserve">18.  </w:t>
      </w:r>
      <w:r w:rsidRPr="007D5CE6">
        <w:rPr>
          <w:rFonts w:cs="Arial"/>
          <w:b/>
          <w:bCs/>
          <w:sz w:val="22"/>
          <w:szCs w:val="22"/>
          <w:lang w:eastAsia="en-GB"/>
        </w:rPr>
        <w:t xml:space="preserve"> </w:t>
      </w:r>
      <w:r w:rsidRPr="002D5440">
        <w:rPr>
          <w:rFonts w:cs="Arial"/>
          <w:bCs/>
          <w:sz w:val="22"/>
          <w:szCs w:val="22"/>
          <w:lang w:eastAsia="en-GB"/>
        </w:rPr>
        <w:t>For the other Employment Areas, a more flexible approach could be taken to</w:t>
      </w:r>
      <w:r>
        <w:rPr>
          <w:rFonts w:cs="Arial"/>
          <w:bCs/>
          <w:sz w:val="22"/>
          <w:szCs w:val="22"/>
          <w:lang w:eastAsia="en-GB"/>
        </w:rPr>
        <w:t xml:space="preserve"> </w:t>
      </w:r>
      <w:r w:rsidRPr="002D5440">
        <w:rPr>
          <w:rFonts w:cs="Arial"/>
          <w:bCs/>
          <w:sz w:val="22"/>
          <w:szCs w:val="22"/>
          <w:lang w:eastAsia="en-GB"/>
        </w:rPr>
        <w:t xml:space="preserve">help facilitate a </w:t>
      </w:r>
      <w:r>
        <w:rPr>
          <w:rFonts w:cs="Arial"/>
          <w:bCs/>
          <w:sz w:val="22"/>
          <w:szCs w:val="22"/>
          <w:lang w:eastAsia="en-GB"/>
        </w:rPr>
        <w:tab/>
      </w:r>
      <w:r w:rsidRPr="002D5440">
        <w:rPr>
          <w:rFonts w:cs="Arial"/>
          <w:bCs/>
          <w:sz w:val="22"/>
          <w:szCs w:val="22"/>
          <w:lang w:eastAsia="en-GB"/>
        </w:rPr>
        <w:t>broad range of economic development. In some cases, a more</w:t>
      </w:r>
      <w:r>
        <w:rPr>
          <w:rFonts w:cs="Arial"/>
          <w:bCs/>
          <w:sz w:val="22"/>
          <w:szCs w:val="22"/>
          <w:lang w:eastAsia="en-GB"/>
        </w:rPr>
        <w:t xml:space="preserve"> </w:t>
      </w:r>
      <w:r w:rsidRPr="002D5440">
        <w:rPr>
          <w:rFonts w:cs="Arial"/>
          <w:bCs/>
          <w:sz w:val="22"/>
          <w:szCs w:val="22"/>
          <w:lang w:eastAsia="en-GB"/>
        </w:rPr>
        <w:tab/>
        <w:t>intensive</w:t>
      </w:r>
      <w:r w:rsidR="009C2F91">
        <w:rPr>
          <w:rFonts w:cs="Arial"/>
          <w:bCs/>
          <w:sz w:val="22"/>
          <w:szCs w:val="22"/>
          <w:lang w:eastAsia="en-GB"/>
        </w:rPr>
        <w:t xml:space="preserve"> </w:t>
      </w:r>
      <w:r>
        <w:rPr>
          <w:rFonts w:cs="Arial"/>
          <w:bCs/>
          <w:sz w:val="22"/>
          <w:szCs w:val="22"/>
          <w:lang w:eastAsia="en-GB"/>
        </w:rPr>
        <w:t xml:space="preserve">mixed use </w:t>
      </w:r>
      <w:r>
        <w:rPr>
          <w:rFonts w:cs="Arial"/>
          <w:bCs/>
          <w:sz w:val="22"/>
          <w:szCs w:val="22"/>
          <w:lang w:eastAsia="en-GB"/>
        </w:rPr>
        <w:tab/>
      </w:r>
      <w:r w:rsidRPr="002D5440">
        <w:rPr>
          <w:rFonts w:cs="Arial"/>
          <w:bCs/>
          <w:sz w:val="22"/>
          <w:szCs w:val="22"/>
          <w:lang w:eastAsia="en-GB"/>
        </w:rPr>
        <w:t>development could provide greater benefit to the local</w:t>
      </w:r>
      <w:r>
        <w:rPr>
          <w:rFonts w:cs="Arial"/>
          <w:bCs/>
          <w:sz w:val="22"/>
          <w:szCs w:val="22"/>
          <w:lang w:eastAsia="en-GB"/>
        </w:rPr>
        <w:t xml:space="preserve"> </w:t>
      </w:r>
      <w:r w:rsidRPr="002D5440">
        <w:rPr>
          <w:rFonts w:cs="Arial"/>
          <w:bCs/>
          <w:sz w:val="22"/>
          <w:szCs w:val="22"/>
          <w:lang w:eastAsia="en-GB"/>
        </w:rPr>
        <w:t xml:space="preserve">community than if the site was </w:t>
      </w:r>
      <w:r>
        <w:rPr>
          <w:rFonts w:cs="Arial"/>
          <w:bCs/>
          <w:sz w:val="22"/>
          <w:szCs w:val="22"/>
          <w:lang w:eastAsia="en-GB"/>
        </w:rPr>
        <w:tab/>
      </w:r>
      <w:r w:rsidRPr="002D5440">
        <w:rPr>
          <w:rFonts w:cs="Arial"/>
          <w:bCs/>
          <w:sz w:val="22"/>
          <w:szCs w:val="22"/>
          <w:lang w:eastAsia="en-GB"/>
        </w:rPr>
        <w:t>retained solely in employment use.</w:t>
      </w:r>
    </w:p>
    <w:p w:rsidR="0000665C" w:rsidRDefault="0000665C" w:rsidP="00264EDF">
      <w:pPr>
        <w:autoSpaceDE w:val="0"/>
        <w:autoSpaceDN w:val="0"/>
        <w:adjustRightInd w:val="0"/>
        <w:spacing w:line="280" w:lineRule="atLeast"/>
        <w:ind w:hanging="567"/>
        <w:rPr>
          <w:rFonts w:cs="Arial"/>
          <w:bCs/>
          <w:sz w:val="22"/>
          <w:szCs w:val="22"/>
          <w:lang w:eastAsia="en-GB"/>
        </w:rPr>
      </w:pPr>
    </w:p>
    <w:p w:rsidR="0000665C" w:rsidRDefault="0000665C" w:rsidP="00F35C14">
      <w:pPr>
        <w:autoSpaceDE w:val="0"/>
        <w:autoSpaceDN w:val="0"/>
        <w:adjustRightInd w:val="0"/>
        <w:spacing w:line="280" w:lineRule="atLeast"/>
        <w:rPr>
          <w:rFonts w:cs="Arial"/>
          <w:sz w:val="22"/>
          <w:szCs w:val="22"/>
          <w:lang w:eastAsia="en-GB"/>
        </w:rPr>
      </w:pPr>
      <w:r>
        <w:rPr>
          <w:rFonts w:cs="Arial"/>
          <w:bCs/>
          <w:sz w:val="22"/>
          <w:szCs w:val="22"/>
          <w:lang w:eastAsia="en-GB"/>
        </w:rPr>
        <w:t xml:space="preserve">19.   </w:t>
      </w:r>
      <w:r>
        <w:rPr>
          <w:rFonts w:cs="Arial"/>
          <w:b/>
          <w:bCs/>
          <w:sz w:val="22"/>
          <w:szCs w:val="22"/>
          <w:lang w:eastAsia="en-GB"/>
        </w:rPr>
        <w:t xml:space="preserve">Recommendations 3 and 5 </w:t>
      </w:r>
      <w:r>
        <w:rPr>
          <w:rFonts w:ascii="Arial,Bold" w:hAnsi="Arial,Bold" w:cs="Arial,Bold"/>
          <w:b/>
          <w:bCs/>
          <w:sz w:val="22"/>
          <w:szCs w:val="22"/>
          <w:lang w:eastAsia="en-GB"/>
        </w:rPr>
        <w:t xml:space="preserve">– </w:t>
      </w:r>
      <w:r>
        <w:rPr>
          <w:rFonts w:cs="Arial"/>
          <w:b/>
          <w:bCs/>
          <w:sz w:val="22"/>
          <w:szCs w:val="22"/>
          <w:lang w:eastAsia="en-GB"/>
        </w:rPr>
        <w:t xml:space="preserve">Sites Not Deliverable for Primarily B-Class Schemes and </w:t>
      </w:r>
      <w:r>
        <w:rPr>
          <w:rFonts w:cs="Arial"/>
          <w:b/>
          <w:bCs/>
          <w:sz w:val="22"/>
          <w:szCs w:val="22"/>
          <w:lang w:eastAsia="en-GB"/>
        </w:rPr>
        <w:tab/>
        <w:t xml:space="preserve">Protecting Key Local Plan Employment </w:t>
      </w:r>
      <w:r w:rsidR="00E420F5">
        <w:rPr>
          <w:rFonts w:cs="Arial"/>
          <w:b/>
          <w:bCs/>
          <w:sz w:val="22"/>
          <w:szCs w:val="22"/>
          <w:lang w:eastAsia="en-GB"/>
        </w:rPr>
        <w:t>Sites.</w:t>
      </w:r>
      <w:r>
        <w:rPr>
          <w:rFonts w:cs="Arial"/>
          <w:b/>
          <w:bCs/>
          <w:sz w:val="22"/>
          <w:szCs w:val="22"/>
          <w:lang w:eastAsia="en-GB"/>
        </w:rPr>
        <w:t xml:space="preserve"> </w:t>
      </w:r>
      <w:r>
        <w:rPr>
          <w:rFonts w:cs="Arial"/>
          <w:b/>
          <w:bCs/>
          <w:sz w:val="22"/>
          <w:szCs w:val="22"/>
          <w:lang w:eastAsia="en-GB"/>
        </w:rPr>
        <w:tab/>
      </w:r>
      <w:r w:rsidRPr="005A7785">
        <w:rPr>
          <w:rFonts w:cs="Arial"/>
          <w:bCs/>
          <w:color w:val="000000" w:themeColor="text1"/>
          <w:sz w:val="22"/>
          <w:szCs w:val="22"/>
          <w:lang w:eastAsia="en-GB"/>
        </w:rPr>
        <w:t xml:space="preserve">Assessing </w:t>
      </w:r>
      <w:r>
        <w:rPr>
          <w:rFonts w:cs="Arial"/>
          <w:bCs/>
          <w:color w:val="000000" w:themeColor="text1"/>
          <w:sz w:val="22"/>
          <w:szCs w:val="22"/>
          <w:lang w:eastAsia="en-GB"/>
        </w:rPr>
        <w:tab/>
      </w:r>
      <w:r w:rsidRPr="005A7785">
        <w:rPr>
          <w:rFonts w:cs="Arial"/>
          <w:bCs/>
          <w:color w:val="000000" w:themeColor="text1"/>
          <w:sz w:val="22"/>
          <w:szCs w:val="22"/>
          <w:lang w:eastAsia="en-GB"/>
        </w:rPr>
        <w:t xml:space="preserve">the </w:t>
      </w:r>
      <w:r>
        <w:rPr>
          <w:rFonts w:cs="Arial"/>
          <w:bCs/>
          <w:color w:val="000000" w:themeColor="text1"/>
          <w:sz w:val="22"/>
          <w:szCs w:val="22"/>
          <w:lang w:eastAsia="en-GB"/>
        </w:rPr>
        <w:t xml:space="preserve">baseline employment </w:t>
      </w:r>
      <w:r>
        <w:rPr>
          <w:rFonts w:cs="Arial"/>
          <w:bCs/>
          <w:color w:val="000000" w:themeColor="text1"/>
          <w:sz w:val="22"/>
          <w:szCs w:val="22"/>
          <w:lang w:eastAsia="en-GB"/>
        </w:rPr>
        <w:tab/>
        <w:t xml:space="preserve">supply has identified </w:t>
      </w:r>
      <w:r w:rsidRPr="005A7785">
        <w:rPr>
          <w:rFonts w:cs="Arial"/>
          <w:color w:val="000000" w:themeColor="text1"/>
          <w:sz w:val="22"/>
          <w:szCs w:val="22"/>
          <w:lang w:eastAsia="en-GB"/>
        </w:rPr>
        <w:t>several employment sites which do not appear to be viable and</w:t>
      </w:r>
      <w:r>
        <w:rPr>
          <w:rFonts w:cs="Arial"/>
          <w:color w:val="000000" w:themeColor="text1"/>
          <w:sz w:val="22"/>
          <w:szCs w:val="22"/>
          <w:lang w:eastAsia="en-GB"/>
        </w:rPr>
        <w:t xml:space="preserve"> </w:t>
      </w:r>
      <w:r>
        <w:rPr>
          <w:rFonts w:cs="Arial"/>
          <w:color w:val="000000" w:themeColor="text1"/>
          <w:sz w:val="22"/>
          <w:szCs w:val="22"/>
          <w:lang w:eastAsia="en-GB"/>
        </w:rPr>
        <w:tab/>
        <w:t>d</w:t>
      </w:r>
      <w:r>
        <w:rPr>
          <w:rFonts w:cs="Arial"/>
          <w:sz w:val="22"/>
          <w:szCs w:val="22"/>
          <w:lang w:eastAsia="en-GB"/>
        </w:rPr>
        <w:t>eliverable for B1/B2/B8 uses, or have significantly reduced net developable areas for B-</w:t>
      </w:r>
      <w:r>
        <w:rPr>
          <w:rFonts w:cs="Arial"/>
          <w:sz w:val="22"/>
          <w:szCs w:val="22"/>
          <w:lang w:eastAsia="en-GB"/>
        </w:rPr>
        <w:tab/>
        <w:t xml:space="preserve">Class use. The </w:t>
      </w:r>
      <w:r w:rsidR="00F35C14">
        <w:rPr>
          <w:rFonts w:cs="Arial"/>
          <w:sz w:val="22"/>
          <w:szCs w:val="22"/>
          <w:lang w:eastAsia="en-GB"/>
        </w:rPr>
        <w:t xml:space="preserve">study recommends the </w:t>
      </w:r>
      <w:r>
        <w:rPr>
          <w:rFonts w:cs="Arial"/>
          <w:sz w:val="22"/>
          <w:szCs w:val="22"/>
          <w:lang w:eastAsia="en-GB"/>
        </w:rPr>
        <w:t xml:space="preserve">affected land should not be counted as part of </w:t>
      </w:r>
      <w:r>
        <w:rPr>
          <w:rFonts w:cs="Arial"/>
          <w:sz w:val="22"/>
          <w:szCs w:val="22"/>
          <w:lang w:eastAsia="en-GB"/>
        </w:rPr>
        <w:tab/>
        <w:t xml:space="preserve">the </w:t>
      </w:r>
      <w:r w:rsidR="00F35C14">
        <w:rPr>
          <w:rFonts w:cs="Arial"/>
          <w:sz w:val="22"/>
          <w:szCs w:val="22"/>
          <w:lang w:eastAsia="en-GB"/>
        </w:rPr>
        <w:tab/>
      </w:r>
      <w:r>
        <w:rPr>
          <w:rFonts w:cs="Arial"/>
          <w:sz w:val="22"/>
          <w:szCs w:val="22"/>
          <w:lang w:eastAsia="en-GB"/>
        </w:rPr>
        <w:t xml:space="preserve">local or sub-regional supply of employment land in future monitoring or included in any </w:t>
      </w:r>
      <w:r w:rsidR="00F35C14">
        <w:rPr>
          <w:rFonts w:cs="Arial"/>
          <w:sz w:val="22"/>
          <w:szCs w:val="22"/>
          <w:lang w:eastAsia="en-GB"/>
        </w:rPr>
        <w:tab/>
      </w:r>
      <w:r>
        <w:rPr>
          <w:rFonts w:cs="Arial"/>
          <w:sz w:val="22"/>
          <w:szCs w:val="22"/>
          <w:lang w:eastAsia="en-GB"/>
        </w:rPr>
        <w:t xml:space="preserve">Local </w:t>
      </w:r>
      <w:r w:rsidR="00F35C14">
        <w:rPr>
          <w:rFonts w:cs="Arial"/>
          <w:sz w:val="22"/>
          <w:szCs w:val="22"/>
          <w:lang w:eastAsia="en-GB"/>
        </w:rPr>
        <w:tab/>
      </w:r>
      <w:r>
        <w:rPr>
          <w:rFonts w:cs="Arial"/>
          <w:sz w:val="22"/>
          <w:szCs w:val="22"/>
          <w:lang w:eastAsia="en-GB"/>
        </w:rPr>
        <w:t>Plan allocations for B-Class uses.</w:t>
      </w:r>
    </w:p>
    <w:p w:rsidR="0000665C" w:rsidRDefault="0000665C" w:rsidP="00F35C14">
      <w:pPr>
        <w:autoSpaceDE w:val="0"/>
        <w:autoSpaceDN w:val="0"/>
        <w:adjustRightInd w:val="0"/>
        <w:spacing w:line="280" w:lineRule="atLeast"/>
        <w:ind w:hanging="567"/>
        <w:rPr>
          <w:rFonts w:cs="Arial"/>
          <w:sz w:val="22"/>
          <w:szCs w:val="22"/>
          <w:lang w:eastAsia="en-GB"/>
        </w:rPr>
      </w:pPr>
    </w:p>
    <w:p w:rsidR="0000665C" w:rsidRDefault="0000665C" w:rsidP="00F35C14">
      <w:pPr>
        <w:autoSpaceDE w:val="0"/>
        <w:autoSpaceDN w:val="0"/>
        <w:adjustRightInd w:val="0"/>
        <w:spacing w:line="280" w:lineRule="atLeast"/>
        <w:rPr>
          <w:rFonts w:cs="Arial"/>
          <w:sz w:val="22"/>
          <w:szCs w:val="22"/>
          <w:lang w:eastAsia="en-GB"/>
        </w:rPr>
      </w:pPr>
      <w:r>
        <w:rPr>
          <w:rFonts w:cs="Arial"/>
          <w:sz w:val="22"/>
          <w:szCs w:val="22"/>
          <w:lang w:eastAsia="en-GB"/>
        </w:rPr>
        <w:t>20</w:t>
      </w:r>
      <w:r>
        <w:rPr>
          <w:rFonts w:cs="Arial"/>
          <w:sz w:val="22"/>
          <w:szCs w:val="22"/>
          <w:lang w:eastAsia="en-GB"/>
        </w:rPr>
        <w:tab/>
      </w:r>
      <w:r w:rsidR="00F35C14">
        <w:rPr>
          <w:rFonts w:cs="Arial"/>
          <w:sz w:val="22"/>
          <w:szCs w:val="22"/>
          <w:lang w:eastAsia="en-GB"/>
        </w:rPr>
        <w:t>For example t</w:t>
      </w:r>
      <w:r>
        <w:rPr>
          <w:rFonts w:cs="Arial"/>
          <w:sz w:val="22"/>
          <w:szCs w:val="22"/>
          <w:lang w:eastAsia="en-GB"/>
        </w:rPr>
        <w:t xml:space="preserve">he Study states in Chorley, whatever decisions are made on the current </w:t>
      </w:r>
      <w:r w:rsidR="00F35C14">
        <w:rPr>
          <w:rFonts w:cs="Arial"/>
          <w:sz w:val="22"/>
          <w:szCs w:val="22"/>
          <w:lang w:eastAsia="en-GB"/>
        </w:rPr>
        <w:tab/>
      </w:r>
      <w:r>
        <w:rPr>
          <w:rFonts w:cs="Arial"/>
          <w:sz w:val="22"/>
          <w:szCs w:val="22"/>
          <w:lang w:eastAsia="en-GB"/>
        </w:rPr>
        <w:t xml:space="preserve">planning applications, it remains highly unlikely that the full 26.90 ha of employment land is </w:t>
      </w:r>
      <w:r w:rsidR="00F35C14">
        <w:rPr>
          <w:rFonts w:cs="Arial"/>
          <w:sz w:val="22"/>
          <w:szCs w:val="22"/>
          <w:lang w:eastAsia="en-GB"/>
        </w:rPr>
        <w:tab/>
      </w:r>
      <w:r>
        <w:rPr>
          <w:rFonts w:cs="Arial"/>
          <w:sz w:val="22"/>
          <w:szCs w:val="22"/>
          <w:lang w:eastAsia="en-GB"/>
        </w:rPr>
        <w:t xml:space="preserve">available in the three sites of the Great Knowley/Botany Bay area, Junction 8, M61. EP1.1 </w:t>
      </w:r>
      <w:r w:rsidR="00F35C14">
        <w:rPr>
          <w:rFonts w:cs="Arial"/>
          <w:sz w:val="22"/>
          <w:szCs w:val="22"/>
          <w:lang w:eastAsia="en-GB"/>
        </w:rPr>
        <w:tab/>
      </w:r>
      <w:r>
        <w:rPr>
          <w:rFonts w:cs="Arial"/>
          <w:sz w:val="22"/>
          <w:szCs w:val="22"/>
          <w:lang w:eastAsia="en-GB"/>
        </w:rPr>
        <w:t xml:space="preserve">Great Knowley in particular, is heavily constrained, both in physical terms and in terms of </w:t>
      </w:r>
      <w:r>
        <w:rPr>
          <w:rFonts w:cs="Arial"/>
          <w:sz w:val="22"/>
          <w:szCs w:val="22"/>
          <w:lang w:eastAsia="en-GB"/>
        </w:rPr>
        <w:tab/>
        <w:t xml:space="preserve">ownerships. A review of this </w:t>
      </w:r>
      <w:r>
        <w:rPr>
          <w:rFonts w:cs="Arial"/>
          <w:sz w:val="22"/>
          <w:szCs w:val="22"/>
          <w:lang w:eastAsia="en-GB"/>
        </w:rPr>
        <w:tab/>
        <w:t xml:space="preserve">broader policy area is required to clarify the realistic land supply </w:t>
      </w:r>
      <w:r>
        <w:rPr>
          <w:rFonts w:cs="Arial"/>
          <w:sz w:val="22"/>
          <w:szCs w:val="22"/>
          <w:lang w:eastAsia="en-GB"/>
        </w:rPr>
        <w:tab/>
        <w:t xml:space="preserve">which can be taken forward </w:t>
      </w:r>
      <w:r>
        <w:rPr>
          <w:rFonts w:cs="Arial"/>
          <w:sz w:val="22"/>
          <w:szCs w:val="22"/>
          <w:lang w:eastAsia="en-GB"/>
        </w:rPr>
        <w:tab/>
        <w:t>for the rest of the Local Plan period.</w:t>
      </w:r>
    </w:p>
    <w:p w:rsidR="0000665C" w:rsidRDefault="0000665C" w:rsidP="00F35C14">
      <w:pPr>
        <w:autoSpaceDE w:val="0"/>
        <w:autoSpaceDN w:val="0"/>
        <w:adjustRightInd w:val="0"/>
        <w:spacing w:line="280" w:lineRule="atLeast"/>
        <w:ind w:hanging="567"/>
        <w:rPr>
          <w:rFonts w:cs="Arial"/>
          <w:sz w:val="22"/>
          <w:szCs w:val="22"/>
          <w:lang w:eastAsia="en-GB"/>
        </w:rPr>
      </w:pPr>
    </w:p>
    <w:p w:rsidR="0000665C" w:rsidRDefault="0000665C" w:rsidP="00F35C14">
      <w:pPr>
        <w:autoSpaceDE w:val="0"/>
        <w:autoSpaceDN w:val="0"/>
        <w:adjustRightInd w:val="0"/>
        <w:spacing w:line="280" w:lineRule="atLeast"/>
        <w:rPr>
          <w:rFonts w:cs="Arial"/>
          <w:bCs/>
          <w:sz w:val="22"/>
          <w:szCs w:val="22"/>
          <w:lang w:eastAsia="en-GB"/>
        </w:rPr>
      </w:pPr>
      <w:r>
        <w:rPr>
          <w:rFonts w:cs="Arial"/>
          <w:sz w:val="22"/>
          <w:szCs w:val="22"/>
          <w:lang w:eastAsia="en-GB"/>
        </w:rPr>
        <w:t>21.</w:t>
      </w:r>
      <w:r>
        <w:rPr>
          <w:rFonts w:cs="Arial"/>
          <w:sz w:val="22"/>
          <w:szCs w:val="22"/>
          <w:lang w:eastAsia="en-GB"/>
        </w:rPr>
        <w:tab/>
      </w:r>
      <w:r w:rsidRPr="005D6422">
        <w:rPr>
          <w:rFonts w:cs="Arial"/>
          <w:sz w:val="22"/>
          <w:szCs w:val="22"/>
          <w:lang w:eastAsia="en-GB"/>
        </w:rPr>
        <w:t>P</w:t>
      </w:r>
      <w:r w:rsidRPr="005D6422">
        <w:rPr>
          <w:rFonts w:cs="Arial"/>
          <w:bCs/>
          <w:sz w:val="22"/>
          <w:szCs w:val="22"/>
          <w:lang w:eastAsia="en-GB"/>
        </w:rPr>
        <w:t xml:space="preserve">rotection of the remaining employment land for B1/B2/B8 development, particularly key </w:t>
      </w:r>
      <w:r>
        <w:rPr>
          <w:rFonts w:cs="Arial"/>
          <w:bCs/>
          <w:sz w:val="22"/>
          <w:szCs w:val="22"/>
          <w:lang w:eastAsia="en-GB"/>
        </w:rPr>
        <w:tab/>
      </w:r>
      <w:r w:rsidRPr="005D6422">
        <w:rPr>
          <w:rFonts w:cs="Arial"/>
          <w:bCs/>
          <w:sz w:val="22"/>
          <w:szCs w:val="22"/>
          <w:lang w:eastAsia="en-GB"/>
        </w:rPr>
        <w:t xml:space="preserve">sites and defined employment areas, needs to be considered a policy priority. Further </w:t>
      </w:r>
      <w:r>
        <w:rPr>
          <w:rFonts w:cs="Arial"/>
          <w:bCs/>
          <w:sz w:val="22"/>
          <w:szCs w:val="22"/>
          <w:lang w:eastAsia="en-GB"/>
        </w:rPr>
        <w:tab/>
      </w:r>
      <w:r w:rsidRPr="005D6422">
        <w:rPr>
          <w:rFonts w:cs="Arial"/>
          <w:bCs/>
          <w:sz w:val="22"/>
          <w:szCs w:val="22"/>
          <w:lang w:eastAsia="en-GB"/>
        </w:rPr>
        <w:t>losses in the land supply, to alternative uses, should be resisted.</w:t>
      </w:r>
    </w:p>
    <w:p w:rsidR="0000665C" w:rsidRPr="005A7785" w:rsidRDefault="0000665C" w:rsidP="00F35C14">
      <w:pPr>
        <w:autoSpaceDE w:val="0"/>
        <w:autoSpaceDN w:val="0"/>
        <w:adjustRightInd w:val="0"/>
        <w:spacing w:line="280" w:lineRule="atLeast"/>
        <w:ind w:left="567" w:hanging="567"/>
        <w:rPr>
          <w:rFonts w:cs="Arial"/>
          <w:sz w:val="22"/>
          <w:szCs w:val="22"/>
          <w:lang w:eastAsia="en-GB"/>
        </w:rPr>
      </w:pPr>
    </w:p>
    <w:p w:rsidR="0000665C" w:rsidRPr="005A7785" w:rsidRDefault="0000665C" w:rsidP="00F35C14">
      <w:pPr>
        <w:autoSpaceDE w:val="0"/>
        <w:autoSpaceDN w:val="0"/>
        <w:adjustRightInd w:val="0"/>
        <w:spacing w:line="280" w:lineRule="atLeast"/>
        <w:ind w:left="567" w:hanging="567"/>
        <w:rPr>
          <w:rFonts w:cs="Arial"/>
          <w:bCs/>
          <w:color w:val="000000" w:themeColor="text1"/>
          <w:sz w:val="22"/>
          <w:szCs w:val="22"/>
          <w:lang w:eastAsia="en-GB"/>
        </w:rPr>
      </w:pPr>
      <w:r w:rsidRPr="005A7785">
        <w:rPr>
          <w:rFonts w:cs="Arial"/>
          <w:sz w:val="22"/>
          <w:szCs w:val="22"/>
          <w:lang w:eastAsia="en-GB"/>
        </w:rPr>
        <w:t>2</w:t>
      </w:r>
      <w:r>
        <w:rPr>
          <w:rFonts w:cs="Arial"/>
          <w:sz w:val="22"/>
          <w:szCs w:val="22"/>
          <w:lang w:eastAsia="en-GB"/>
        </w:rPr>
        <w:t>2</w:t>
      </w:r>
      <w:r w:rsidRPr="005A7785">
        <w:rPr>
          <w:rFonts w:cs="Arial"/>
          <w:sz w:val="22"/>
          <w:szCs w:val="22"/>
          <w:lang w:eastAsia="en-GB"/>
        </w:rPr>
        <w:t>.</w:t>
      </w:r>
      <w:r w:rsidRPr="005A7785">
        <w:rPr>
          <w:rFonts w:cs="Arial"/>
          <w:sz w:val="22"/>
          <w:szCs w:val="22"/>
          <w:lang w:eastAsia="en-GB"/>
        </w:rPr>
        <w:tab/>
      </w:r>
      <w:r w:rsidRPr="005A7785">
        <w:rPr>
          <w:rFonts w:cs="Arial"/>
          <w:b/>
          <w:sz w:val="22"/>
          <w:szCs w:val="22"/>
          <w:lang w:eastAsia="en-GB"/>
        </w:rPr>
        <w:t xml:space="preserve">Recommendation 4 </w:t>
      </w:r>
      <w:r>
        <w:rPr>
          <w:rFonts w:cs="Arial"/>
          <w:b/>
          <w:sz w:val="22"/>
          <w:szCs w:val="22"/>
          <w:lang w:eastAsia="en-GB"/>
        </w:rPr>
        <w:t xml:space="preserve">and 6 </w:t>
      </w:r>
      <w:r w:rsidRPr="005A7785">
        <w:rPr>
          <w:rFonts w:cs="Arial"/>
          <w:b/>
          <w:sz w:val="22"/>
          <w:szCs w:val="22"/>
          <w:lang w:eastAsia="en-GB"/>
        </w:rPr>
        <w:t xml:space="preserve">– Future </w:t>
      </w:r>
      <w:r w:rsidRPr="005A7785">
        <w:rPr>
          <w:rFonts w:cs="Arial"/>
          <w:b/>
          <w:color w:val="000000" w:themeColor="text1"/>
          <w:sz w:val="22"/>
          <w:szCs w:val="22"/>
          <w:lang w:eastAsia="en-GB"/>
        </w:rPr>
        <w:t>Employment Land Provision</w:t>
      </w:r>
      <w:r>
        <w:rPr>
          <w:rFonts w:cs="Arial"/>
          <w:b/>
          <w:color w:val="000000" w:themeColor="text1"/>
          <w:sz w:val="22"/>
          <w:szCs w:val="22"/>
          <w:lang w:eastAsia="en-GB"/>
        </w:rPr>
        <w:t xml:space="preserve"> and Meeting Needs</w:t>
      </w:r>
      <w:r w:rsidRPr="005A7785">
        <w:rPr>
          <w:rFonts w:cs="Arial"/>
          <w:b/>
          <w:color w:val="000000" w:themeColor="text1"/>
          <w:sz w:val="22"/>
          <w:szCs w:val="22"/>
          <w:lang w:eastAsia="en-GB"/>
        </w:rPr>
        <w:t>.</w:t>
      </w:r>
      <w:r w:rsidRPr="005A7785">
        <w:rPr>
          <w:rFonts w:cs="Arial"/>
          <w:color w:val="000000" w:themeColor="text1"/>
          <w:sz w:val="22"/>
          <w:szCs w:val="22"/>
          <w:lang w:eastAsia="en-GB"/>
        </w:rPr>
        <w:t xml:space="preserve"> Th</w:t>
      </w:r>
      <w:r>
        <w:rPr>
          <w:rFonts w:cs="Arial"/>
          <w:color w:val="000000" w:themeColor="text1"/>
          <w:sz w:val="22"/>
          <w:szCs w:val="22"/>
          <w:lang w:eastAsia="en-GB"/>
        </w:rPr>
        <w:t>e</w:t>
      </w:r>
      <w:r w:rsidRPr="005A7785">
        <w:rPr>
          <w:rFonts w:cs="Arial"/>
          <w:color w:val="000000" w:themeColor="text1"/>
          <w:sz w:val="22"/>
          <w:szCs w:val="22"/>
          <w:lang w:eastAsia="en-GB"/>
        </w:rPr>
        <w:t xml:space="preserve"> Central Lancashire </w:t>
      </w:r>
      <w:r w:rsidRPr="005A7785">
        <w:rPr>
          <w:rFonts w:cs="Arial"/>
          <w:bCs/>
          <w:color w:val="000000" w:themeColor="text1"/>
          <w:sz w:val="22"/>
          <w:szCs w:val="22"/>
          <w:lang w:eastAsia="en-GB"/>
        </w:rPr>
        <w:t xml:space="preserve">authorities </w:t>
      </w:r>
      <w:r>
        <w:rPr>
          <w:rFonts w:cs="Arial"/>
          <w:bCs/>
          <w:color w:val="000000" w:themeColor="text1"/>
          <w:sz w:val="22"/>
          <w:szCs w:val="22"/>
          <w:lang w:eastAsia="en-GB"/>
        </w:rPr>
        <w:t xml:space="preserve">should </w:t>
      </w:r>
      <w:r w:rsidRPr="005A7785">
        <w:rPr>
          <w:rFonts w:cs="Arial"/>
          <w:bCs/>
          <w:color w:val="000000" w:themeColor="text1"/>
          <w:sz w:val="22"/>
          <w:szCs w:val="22"/>
          <w:lang w:eastAsia="en-GB"/>
        </w:rPr>
        <w:t xml:space="preserve">collectively and individually, use the roll forward of historic take-up as the main measure of future land need for the period up to 2034. This indicates a sub-regional need of </w:t>
      </w:r>
      <w:r w:rsidRPr="009C2F91">
        <w:rPr>
          <w:rFonts w:cs="Arial"/>
          <w:b/>
          <w:bCs/>
          <w:color w:val="000000" w:themeColor="text1"/>
          <w:sz w:val="22"/>
          <w:szCs w:val="22"/>
          <w:lang w:eastAsia="en-GB"/>
        </w:rPr>
        <w:t>273.00 ha</w:t>
      </w:r>
      <w:r w:rsidRPr="005A7785">
        <w:rPr>
          <w:rFonts w:cs="Arial"/>
          <w:bCs/>
          <w:color w:val="000000" w:themeColor="text1"/>
          <w:sz w:val="22"/>
          <w:szCs w:val="22"/>
          <w:lang w:eastAsia="en-GB"/>
        </w:rPr>
        <w:t xml:space="preserve"> to 2034, incorporating a five-year buffer. Measured against Central Lancashire’s current realistic supply, backdated to 2014, there is a shortfall of </w:t>
      </w:r>
      <w:r w:rsidRPr="009C2F91">
        <w:rPr>
          <w:rFonts w:cs="Arial"/>
          <w:b/>
          <w:bCs/>
          <w:color w:val="000000" w:themeColor="text1"/>
          <w:sz w:val="22"/>
          <w:szCs w:val="22"/>
          <w:lang w:eastAsia="en-GB"/>
        </w:rPr>
        <w:t>8</w:t>
      </w:r>
      <w:r w:rsidR="009C2F91" w:rsidRPr="009C2F91">
        <w:rPr>
          <w:rFonts w:cs="Arial"/>
          <w:b/>
          <w:bCs/>
          <w:color w:val="000000" w:themeColor="text1"/>
          <w:sz w:val="22"/>
          <w:szCs w:val="22"/>
          <w:lang w:eastAsia="en-GB"/>
        </w:rPr>
        <w:t>4.57</w:t>
      </w:r>
      <w:r w:rsidRPr="009C2F91">
        <w:rPr>
          <w:rFonts w:cs="Arial"/>
          <w:b/>
          <w:bCs/>
          <w:color w:val="000000" w:themeColor="text1"/>
          <w:sz w:val="22"/>
          <w:szCs w:val="22"/>
          <w:lang w:eastAsia="en-GB"/>
        </w:rPr>
        <w:t xml:space="preserve"> ha</w:t>
      </w:r>
      <w:r w:rsidRPr="005A7785">
        <w:rPr>
          <w:rFonts w:cs="Arial"/>
          <w:bCs/>
          <w:color w:val="000000" w:themeColor="text1"/>
          <w:sz w:val="22"/>
          <w:szCs w:val="22"/>
          <w:lang w:eastAsia="en-GB"/>
        </w:rPr>
        <w:t xml:space="preserve"> comprising:</w:t>
      </w:r>
    </w:p>
    <w:p w:rsidR="0000665C" w:rsidRPr="005A7785" w:rsidRDefault="0000665C" w:rsidP="00F35C14">
      <w:pPr>
        <w:autoSpaceDE w:val="0"/>
        <w:autoSpaceDN w:val="0"/>
        <w:adjustRightInd w:val="0"/>
        <w:spacing w:line="280" w:lineRule="atLeast"/>
        <w:ind w:left="567" w:hanging="567"/>
        <w:rPr>
          <w:rFonts w:cs="Arial"/>
          <w:bCs/>
          <w:color w:val="000000" w:themeColor="text1"/>
          <w:sz w:val="22"/>
          <w:szCs w:val="22"/>
          <w:lang w:eastAsia="en-GB"/>
        </w:rPr>
      </w:pPr>
      <w:r w:rsidRPr="005A7785">
        <w:rPr>
          <w:rFonts w:cs="Arial"/>
          <w:color w:val="000000" w:themeColor="text1"/>
          <w:sz w:val="22"/>
          <w:szCs w:val="22"/>
          <w:lang w:eastAsia="en-GB"/>
        </w:rPr>
        <w:tab/>
        <w:t xml:space="preserve">• </w:t>
      </w:r>
      <w:r w:rsidRPr="005A7785">
        <w:rPr>
          <w:rFonts w:cs="Arial"/>
          <w:bCs/>
          <w:color w:val="000000" w:themeColor="text1"/>
          <w:sz w:val="22"/>
          <w:szCs w:val="22"/>
          <w:lang w:eastAsia="en-GB"/>
        </w:rPr>
        <w:t xml:space="preserve">Chorley </w:t>
      </w:r>
      <w:r w:rsidR="009C2F91">
        <w:rPr>
          <w:rFonts w:cs="Arial"/>
          <w:bCs/>
          <w:color w:val="000000" w:themeColor="text1"/>
          <w:sz w:val="22"/>
          <w:szCs w:val="22"/>
          <w:lang w:eastAsia="en-GB"/>
        </w:rPr>
        <w:tab/>
      </w:r>
      <w:r w:rsidRPr="005A7785">
        <w:rPr>
          <w:rFonts w:cs="Arial"/>
          <w:bCs/>
          <w:color w:val="000000" w:themeColor="text1"/>
          <w:sz w:val="22"/>
          <w:szCs w:val="22"/>
          <w:lang w:eastAsia="en-GB"/>
        </w:rPr>
        <w:t xml:space="preserve"> </w:t>
      </w:r>
      <w:r w:rsidR="009C2F91">
        <w:rPr>
          <w:rFonts w:cs="Arial"/>
          <w:bCs/>
          <w:color w:val="000000" w:themeColor="text1"/>
          <w:sz w:val="22"/>
          <w:szCs w:val="22"/>
          <w:lang w:eastAsia="en-GB"/>
        </w:rPr>
        <w:tab/>
      </w:r>
      <w:r w:rsidRPr="005A7785">
        <w:rPr>
          <w:rFonts w:cs="Arial"/>
          <w:bCs/>
          <w:color w:val="000000" w:themeColor="text1"/>
          <w:sz w:val="22"/>
          <w:szCs w:val="22"/>
          <w:lang w:eastAsia="en-GB"/>
        </w:rPr>
        <w:t>3</w:t>
      </w:r>
      <w:r w:rsidR="009C2F91">
        <w:rPr>
          <w:rFonts w:cs="Arial"/>
          <w:bCs/>
          <w:color w:val="000000" w:themeColor="text1"/>
          <w:sz w:val="22"/>
          <w:szCs w:val="22"/>
          <w:lang w:eastAsia="en-GB"/>
        </w:rPr>
        <w:t>5.75</w:t>
      </w:r>
      <w:r w:rsidRPr="005A7785">
        <w:rPr>
          <w:rFonts w:cs="Arial"/>
          <w:bCs/>
          <w:color w:val="000000" w:themeColor="text1"/>
          <w:sz w:val="22"/>
          <w:szCs w:val="22"/>
          <w:lang w:eastAsia="en-GB"/>
        </w:rPr>
        <w:t xml:space="preserve"> ha (further need)</w:t>
      </w:r>
    </w:p>
    <w:p w:rsidR="0000665C" w:rsidRPr="005A7785" w:rsidRDefault="0000665C" w:rsidP="00F35C14">
      <w:pPr>
        <w:autoSpaceDE w:val="0"/>
        <w:autoSpaceDN w:val="0"/>
        <w:adjustRightInd w:val="0"/>
        <w:spacing w:line="280" w:lineRule="atLeast"/>
        <w:ind w:left="567" w:hanging="567"/>
        <w:rPr>
          <w:rFonts w:cs="Arial"/>
          <w:bCs/>
          <w:color w:val="000000" w:themeColor="text1"/>
          <w:sz w:val="22"/>
          <w:szCs w:val="22"/>
          <w:lang w:eastAsia="en-GB"/>
        </w:rPr>
      </w:pPr>
      <w:r w:rsidRPr="005A7785">
        <w:rPr>
          <w:rFonts w:cs="Arial"/>
          <w:color w:val="000000" w:themeColor="text1"/>
          <w:sz w:val="22"/>
          <w:szCs w:val="22"/>
          <w:lang w:eastAsia="en-GB"/>
        </w:rPr>
        <w:tab/>
        <w:t xml:space="preserve">• </w:t>
      </w:r>
      <w:r w:rsidRPr="005A7785">
        <w:rPr>
          <w:rFonts w:cs="Arial"/>
          <w:bCs/>
          <w:color w:val="000000" w:themeColor="text1"/>
          <w:sz w:val="22"/>
          <w:szCs w:val="22"/>
          <w:lang w:eastAsia="en-GB"/>
        </w:rPr>
        <w:t xml:space="preserve">Preston </w:t>
      </w:r>
      <w:r w:rsidR="009C2F91">
        <w:rPr>
          <w:rFonts w:cs="Arial"/>
          <w:bCs/>
          <w:color w:val="000000" w:themeColor="text1"/>
          <w:sz w:val="22"/>
          <w:szCs w:val="22"/>
          <w:lang w:eastAsia="en-GB"/>
        </w:rPr>
        <w:tab/>
      </w:r>
      <w:r w:rsidR="009C2F91">
        <w:rPr>
          <w:rFonts w:cs="Arial"/>
          <w:bCs/>
          <w:color w:val="000000" w:themeColor="text1"/>
          <w:sz w:val="22"/>
          <w:szCs w:val="22"/>
          <w:lang w:eastAsia="en-GB"/>
        </w:rPr>
        <w:tab/>
      </w:r>
      <w:r w:rsidRPr="005A7785">
        <w:rPr>
          <w:rFonts w:cs="Arial"/>
          <w:bCs/>
          <w:color w:val="000000" w:themeColor="text1"/>
          <w:sz w:val="22"/>
          <w:szCs w:val="22"/>
          <w:lang w:eastAsia="en-GB"/>
        </w:rPr>
        <w:t>1</w:t>
      </w:r>
      <w:r w:rsidR="009C2F91">
        <w:rPr>
          <w:rFonts w:cs="Arial"/>
          <w:bCs/>
          <w:color w:val="000000" w:themeColor="text1"/>
          <w:sz w:val="22"/>
          <w:szCs w:val="22"/>
          <w:lang w:eastAsia="en-GB"/>
        </w:rPr>
        <w:t>7.31</w:t>
      </w:r>
      <w:r w:rsidRPr="005A7785">
        <w:rPr>
          <w:rFonts w:cs="Arial"/>
          <w:bCs/>
          <w:color w:val="000000" w:themeColor="text1"/>
          <w:sz w:val="22"/>
          <w:szCs w:val="22"/>
          <w:lang w:eastAsia="en-GB"/>
        </w:rPr>
        <w:t xml:space="preserve"> ha (further need)</w:t>
      </w:r>
    </w:p>
    <w:p w:rsidR="0000665C" w:rsidRDefault="0000665C" w:rsidP="00F35C14">
      <w:pPr>
        <w:autoSpaceDE w:val="0"/>
        <w:autoSpaceDN w:val="0"/>
        <w:adjustRightInd w:val="0"/>
        <w:spacing w:line="280" w:lineRule="atLeast"/>
        <w:ind w:left="567" w:hanging="567"/>
        <w:rPr>
          <w:color w:val="000000" w:themeColor="text1"/>
          <w:sz w:val="22"/>
        </w:rPr>
      </w:pPr>
      <w:r w:rsidRPr="005A7785">
        <w:rPr>
          <w:rFonts w:cs="Arial"/>
          <w:color w:val="000000" w:themeColor="text1"/>
          <w:sz w:val="22"/>
          <w:szCs w:val="22"/>
          <w:lang w:eastAsia="en-GB"/>
        </w:rPr>
        <w:tab/>
        <w:t xml:space="preserve">• </w:t>
      </w:r>
      <w:r w:rsidRPr="005A7785">
        <w:rPr>
          <w:rFonts w:cs="Arial"/>
          <w:bCs/>
          <w:color w:val="000000" w:themeColor="text1"/>
          <w:sz w:val="22"/>
          <w:szCs w:val="22"/>
          <w:lang w:eastAsia="en-GB"/>
        </w:rPr>
        <w:t xml:space="preserve">South Ribble </w:t>
      </w:r>
      <w:r w:rsidR="009C2F91">
        <w:rPr>
          <w:rFonts w:cs="Arial"/>
          <w:bCs/>
          <w:color w:val="000000" w:themeColor="text1"/>
          <w:sz w:val="22"/>
          <w:szCs w:val="22"/>
          <w:lang w:eastAsia="en-GB"/>
        </w:rPr>
        <w:tab/>
      </w:r>
      <w:r w:rsidRPr="005A7785">
        <w:rPr>
          <w:rFonts w:cs="Arial"/>
          <w:bCs/>
          <w:color w:val="000000" w:themeColor="text1"/>
          <w:sz w:val="22"/>
          <w:szCs w:val="22"/>
          <w:lang w:eastAsia="en-GB"/>
        </w:rPr>
        <w:t xml:space="preserve"> 31.51 ha (further need).</w:t>
      </w:r>
      <w:r w:rsidRPr="005A7785">
        <w:rPr>
          <w:color w:val="000000" w:themeColor="text1"/>
          <w:sz w:val="22"/>
        </w:rPr>
        <w:tab/>
      </w:r>
    </w:p>
    <w:p w:rsidR="009C2F91" w:rsidRDefault="009C2F91" w:rsidP="00F35C14">
      <w:pPr>
        <w:autoSpaceDE w:val="0"/>
        <w:autoSpaceDN w:val="0"/>
        <w:adjustRightInd w:val="0"/>
        <w:spacing w:line="280" w:lineRule="atLeast"/>
        <w:ind w:left="567" w:hanging="567"/>
        <w:rPr>
          <w:color w:val="000000" w:themeColor="text1"/>
          <w:sz w:val="22"/>
        </w:rPr>
      </w:pPr>
    </w:p>
    <w:p w:rsidR="0000665C" w:rsidRDefault="0000665C" w:rsidP="00264EDF">
      <w:pPr>
        <w:autoSpaceDE w:val="0"/>
        <w:autoSpaceDN w:val="0"/>
        <w:adjustRightInd w:val="0"/>
        <w:spacing w:line="280" w:lineRule="atLeast"/>
        <w:ind w:left="567" w:hanging="567"/>
        <w:rPr>
          <w:color w:val="000000" w:themeColor="text1"/>
          <w:sz w:val="22"/>
        </w:rPr>
      </w:pPr>
    </w:p>
    <w:p w:rsidR="0000665C" w:rsidRDefault="0000665C" w:rsidP="00264EDF">
      <w:pPr>
        <w:autoSpaceDE w:val="0"/>
        <w:autoSpaceDN w:val="0"/>
        <w:adjustRightInd w:val="0"/>
        <w:spacing w:line="280" w:lineRule="atLeast"/>
        <w:ind w:left="567" w:hanging="567"/>
        <w:rPr>
          <w:rFonts w:cs="Arial"/>
          <w:sz w:val="22"/>
          <w:szCs w:val="22"/>
          <w:lang w:eastAsia="en-GB"/>
        </w:rPr>
      </w:pPr>
      <w:r>
        <w:rPr>
          <w:color w:val="000000" w:themeColor="text1"/>
          <w:sz w:val="22"/>
        </w:rPr>
        <w:t>23.</w:t>
      </w:r>
      <w:r>
        <w:rPr>
          <w:color w:val="000000" w:themeColor="text1"/>
          <w:sz w:val="22"/>
        </w:rPr>
        <w:tab/>
      </w:r>
      <w:r w:rsidRPr="002D5B0D">
        <w:rPr>
          <w:b/>
          <w:color w:val="000000" w:themeColor="text1"/>
          <w:sz w:val="22"/>
        </w:rPr>
        <w:t>Recommendation 7 - Encouraging Development</w:t>
      </w:r>
      <w:r>
        <w:rPr>
          <w:color w:val="000000" w:themeColor="text1"/>
          <w:sz w:val="22"/>
        </w:rPr>
        <w:t>. The study sta</w:t>
      </w:r>
      <w:bookmarkStart w:id="4" w:name="_GoBack"/>
      <w:bookmarkEnd w:id="4"/>
      <w:r>
        <w:rPr>
          <w:color w:val="000000" w:themeColor="text1"/>
          <w:sz w:val="22"/>
        </w:rPr>
        <w:t>tes the</w:t>
      </w:r>
      <w:r>
        <w:rPr>
          <w:rFonts w:cs="Arial"/>
          <w:sz w:val="22"/>
          <w:szCs w:val="22"/>
          <w:lang w:eastAsia="en-GB"/>
        </w:rPr>
        <w:t xml:space="preserve"> simplest method is to maintain flexibility over the mix of uses on each site to allow viable combinations to be identified, although this can sacrifice land supply and conflict with other policies. The study provides information on a range of commonly used support delivery mechanisms which are applicable to development matters in Central Lancashire e.g. private sec</w:t>
      </w:r>
      <w:r w:rsidR="009C2F91">
        <w:rPr>
          <w:rFonts w:cs="Arial"/>
          <w:sz w:val="22"/>
          <w:szCs w:val="22"/>
          <w:lang w:eastAsia="en-GB"/>
        </w:rPr>
        <w:t>t</w:t>
      </w:r>
      <w:r>
        <w:rPr>
          <w:rFonts w:cs="Arial"/>
          <w:sz w:val="22"/>
          <w:szCs w:val="22"/>
          <w:lang w:eastAsia="en-GB"/>
        </w:rPr>
        <w:t>or led/private sector funded; joint venture agreement.</w:t>
      </w:r>
    </w:p>
    <w:p w:rsidR="0000665C" w:rsidRDefault="0000665C" w:rsidP="00264EDF">
      <w:pPr>
        <w:autoSpaceDE w:val="0"/>
        <w:autoSpaceDN w:val="0"/>
        <w:adjustRightInd w:val="0"/>
        <w:spacing w:line="280" w:lineRule="atLeast"/>
        <w:ind w:left="567" w:hanging="567"/>
        <w:rPr>
          <w:color w:val="000000" w:themeColor="text1"/>
          <w:sz w:val="22"/>
        </w:rPr>
      </w:pPr>
    </w:p>
    <w:p w:rsidR="0000665C" w:rsidRDefault="0000665C" w:rsidP="00264EDF">
      <w:pPr>
        <w:autoSpaceDE w:val="0"/>
        <w:autoSpaceDN w:val="0"/>
        <w:adjustRightInd w:val="0"/>
        <w:spacing w:line="280" w:lineRule="atLeast"/>
        <w:ind w:left="567" w:hanging="567"/>
        <w:rPr>
          <w:color w:val="000000" w:themeColor="text1"/>
          <w:sz w:val="22"/>
        </w:rPr>
      </w:pPr>
      <w:r>
        <w:rPr>
          <w:color w:val="000000" w:themeColor="text1"/>
          <w:sz w:val="22"/>
        </w:rPr>
        <w:t>24.</w:t>
      </w:r>
      <w:r>
        <w:rPr>
          <w:color w:val="000000" w:themeColor="text1"/>
          <w:sz w:val="22"/>
        </w:rPr>
        <w:tab/>
      </w:r>
      <w:r w:rsidRPr="001E752F">
        <w:rPr>
          <w:b/>
          <w:color w:val="000000" w:themeColor="text1"/>
          <w:sz w:val="22"/>
        </w:rPr>
        <w:t>Recommendation 8 – Monitoring Arrangements.</w:t>
      </w:r>
      <w:r>
        <w:rPr>
          <w:color w:val="000000" w:themeColor="text1"/>
          <w:sz w:val="22"/>
        </w:rPr>
        <w:t xml:space="preserve"> The Study states the Central Lancashire authorities should review their monitoring arrangements to be consistent going forward.</w:t>
      </w:r>
    </w:p>
    <w:p w:rsidR="0000665C" w:rsidRDefault="0000665C" w:rsidP="00264EDF">
      <w:pPr>
        <w:autoSpaceDE w:val="0"/>
        <w:autoSpaceDN w:val="0"/>
        <w:adjustRightInd w:val="0"/>
        <w:spacing w:line="280" w:lineRule="atLeast"/>
        <w:ind w:left="567" w:hanging="567"/>
        <w:rPr>
          <w:color w:val="000000" w:themeColor="text1"/>
          <w:sz w:val="22"/>
        </w:rPr>
      </w:pPr>
    </w:p>
    <w:p w:rsidR="0000665C" w:rsidRDefault="0000665C" w:rsidP="00264EDF">
      <w:pPr>
        <w:autoSpaceDE w:val="0"/>
        <w:autoSpaceDN w:val="0"/>
        <w:adjustRightInd w:val="0"/>
        <w:spacing w:line="280" w:lineRule="atLeast"/>
        <w:rPr>
          <w:rFonts w:cs="Arial"/>
          <w:sz w:val="22"/>
          <w:szCs w:val="22"/>
          <w:lang w:eastAsia="en-GB"/>
        </w:rPr>
      </w:pPr>
      <w:r>
        <w:rPr>
          <w:color w:val="000000" w:themeColor="text1"/>
          <w:sz w:val="22"/>
        </w:rPr>
        <w:t>25.</w:t>
      </w:r>
      <w:r>
        <w:rPr>
          <w:color w:val="000000" w:themeColor="text1"/>
          <w:sz w:val="22"/>
        </w:rPr>
        <w:tab/>
      </w:r>
      <w:r w:rsidRPr="001E752F">
        <w:rPr>
          <w:b/>
          <w:color w:val="000000" w:themeColor="text1"/>
          <w:sz w:val="22"/>
        </w:rPr>
        <w:t>Recommendation 9 – Future Reviews</w:t>
      </w:r>
      <w:r>
        <w:rPr>
          <w:color w:val="000000" w:themeColor="text1"/>
          <w:sz w:val="22"/>
        </w:rPr>
        <w:t xml:space="preserve">. Market </w:t>
      </w:r>
      <w:r>
        <w:rPr>
          <w:rFonts w:cs="Arial"/>
          <w:sz w:val="22"/>
          <w:szCs w:val="22"/>
          <w:lang w:eastAsia="en-GB"/>
        </w:rPr>
        <w:t xml:space="preserve">conditions in Central Lancashire are </w:t>
      </w:r>
      <w:r>
        <w:rPr>
          <w:rFonts w:cs="Arial"/>
          <w:sz w:val="22"/>
          <w:szCs w:val="22"/>
          <w:lang w:eastAsia="en-GB"/>
        </w:rPr>
        <w:tab/>
        <w:t xml:space="preserve">evolving, with a business base seeking growth and increased prospects of inward </w:t>
      </w:r>
      <w:r>
        <w:rPr>
          <w:rFonts w:cs="Arial"/>
          <w:sz w:val="22"/>
          <w:szCs w:val="22"/>
          <w:lang w:eastAsia="en-GB"/>
        </w:rPr>
        <w:tab/>
        <w:t xml:space="preserve">investment. This is combined with greater prospects of delivery on some strategic and </w:t>
      </w:r>
      <w:r>
        <w:rPr>
          <w:rFonts w:cs="Arial"/>
          <w:sz w:val="22"/>
          <w:szCs w:val="22"/>
          <w:lang w:eastAsia="en-GB"/>
        </w:rPr>
        <w:tab/>
        <w:t xml:space="preserve">local </w:t>
      </w:r>
      <w:r>
        <w:rPr>
          <w:rFonts w:cs="Arial"/>
          <w:sz w:val="22"/>
          <w:szCs w:val="22"/>
          <w:lang w:eastAsia="en-GB"/>
        </w:rPr>
        <w:tab/>
        <w:t xml:space="preserve">employment sites and ongoing deliverability issues on others. In view of these factors, the </w:t>
      </w:r>
      <w:r>
        <w:rPr>
          <w:rFonts w:cs="Arial"/>
          <w:sz w:val="22"/>
          <w:szCs w:val="22"/>
          <w:lang w:eastAsia="en-GB"/>
        </w:rPr>
        <w:tab/>
        <w:t xml:space="preserve">Central Lancashire authorities should review their employment land portfolios, individually </w:t>
      </w:r>
      <w:r>
        <w:rPr>
          <w:rFonts w:cs="Arial"/>
          <w:sz w:val="22"/>
          <w:szCs w:val="22"/>
          <w:lang w:eastAsia="en-GB"/>
        </w:rPr>
        <w:tab/>
        <w:t xml:space="preserve">and collectively, as appropriate at intervals of around five years. This is also in accordance </w:t>
      </w:r>
      <w:r>
        <w:rPr>
          <w:rFonts w:cs="Arial"/>
          <w:sz w:val="22"/>
          <w:szCs w:val="22"/>
          <w:lang w:eastAsia="en-GB"/>
        </w:rPr>
        <w:tab/>
        <w:t xml:space="preserve">with the NPPF which </w:t>
      </w:r>
      <w:r>
        <w:rPr>
          <w:rFonts w:cs="Arial"/>
          <w:sz w:val="22"/>
          <w:szCs w:val="22"/>
          <w:lang w:eastAsia="en-GB"/>
        </w:rPr>
        <w:tab/>
        <w:t xml:space="preserve">recommends regular monitoring and review of the local land supply to </w:t>
      </w:r>
      <w:r>
        <w:rPr>
          <w:rFonts w:cs="Arial"/>
          <w:sz w:val="22"/>
          <w:szCs w:val="22"/>
          <w:lang w:eastAsia="en-GB"/>
        </w:rPr>
        <w:tab/>
        <w:t xml:space="preserve">ensure a robust </w:t>
      </w:r>
      <w:r>
        <w:rPr>
          <w:rFonts w:cs="Arial"/>
          <w:sz w:val="22"/>
          <w:szCs w:val="22"/>
          <w:lang w:eastAsia="en-GB"/>
        </w:rPr>
        <w:tab/>
        <w:t>evidence base.</w:t>
      </w:r>
    </w:p>
    <w:p w:rsidR="0000665C" w:rsidRDefault="0000665C" w:rsidP="001D5CF2">
      <w:pPr>
        <w:pStyle w:val="ListParagraph"/>
        <w:tabs>
          <w:tab w:val="left" w:pos="567"/>
        </w:tabs>
        <w:spacing w:line="280" w:lineRule="atLeast"/>
        <w:ind w:left="567"/>
        <w:rPr>
          <w:szCs w:val="22"/>
        </w:rPr>
      </w:pPr>
    </w:p>
    <w:p w:rsidR="001D5CF2" w:rsidRDefault="001D5CF2" w:rsidP="00900980">
      <w:pPr>
        <w:pStyle w:val="ListParagraph"/>
        <w:ind w:left="567"/>
        <w:rPr>
          <w:i/>
          <w:sz w:val="18"/>
          <w:szCs w:val="18"/>
        </w:rPr>
      </w:pPr>
    </w:p>
    <w:p w:rsidR="00F95442" w:rsidRDefault="00F95442" w:rsidP="00F95442">
      <w:pPr>
        <w:spacing w:line="280" w:lineRule="atLeast"/>
        <w:rPr>
          <w:b/>
          <w:sz w:val="22"/>
          <w:szCs w:val="22"/>
        </w:rPr>
      </w:pPr>
      <w:r w:rsidRPr="00F97797">
        <w:rPr>
          <w:b/>
          <w:sz w:val="22"/>
          <w:szCs w:val="22"/>
        </w:rPr>
        <w:t>NEXT STEPS</w:t>
      </w:r>
    </w:p>
    <w:p w:rsidR="00F35C14" w:rsidRPr="00F35C14" w:rsidRDefault="00F35C14" w:rsidP="00F35C14">
      <w:pPr>
        <w:pStyle w:val="ListParagraph"/>
        <w:numPr>
          <w:ilvl w:val="0"/>
          <w:numId w:val="23"/>
        </w:numPr>
        <w:pBdr>
          <w:top w:val="single" w:sz="2" w:space="1" w:color="FFFFFF"/>
          <w:left w:val="single" w:sz="2" w:space="0" w:color="FFFFFF"/>
          <w:bottom w:val="single" w:sz="2" w:space="2" w:color="FFFFFF"/>
          <w:right w:val="single" w:sz="2" w:space="4" w:color="FFFFFF"/>
        </w:pBdr>
        <w:ind w:left="567" w:hanging="567"/>
        <w:rPr>
          <w:sz w:val="22"/>
        </w:rPr>
      </w:pPr>
      <w:r w:rsidRPr="00F35C14">
        <w:rPr>
          <w:sz w:val="22"/>
        </w:rPr>
        <w:t xml:space="preserve">The Central Lancashire Employment Land </w:t>
      </w:r>
      <w:r w:rsidR="00270CBC">
        <w:rPr>
          <w:sz w:val="22"/>
        </w:rPr>
        <w:t>Study</w:t>
      </w:r>
      <w:r w:rsidRPr="00F35C14">
        <w:rPr>
          <w:sz w:val="22"/>
        </w:rPr>
        <w:t xml:space="preserve"> has been carried out to provide a common evidence base for all three local authorities on employment matters to compliment the Central Lancashire Strategic Housing Market Area Assessment and meet the requirements of the National Planning Policy Framework and Planning Practice Guidance. The evidence will </w:t>
      </w:r>
      <w:r>
        <w:rPr>
          <w:sz w:val="22"/>
        </w:rPr>
        <w:t xml:space="preserve">now </w:t>
      </w:r>
      <w:r w:rsidRPr="00F35C14">
        <w:rPr>
          <w:sz w:val="22"/>
        </w:rPr>
        <w:t xml:space="preserve">be used to </w:t>
      </w:r>
      <w:r w:rsidR="00E24B53">
        <w:rPr>
          <w:sz w:val="22"/>
        </w:rPr>
        <w:t xml:space="preserve">review </w:t>
      </w:r>
      <w:r w:rsidRPr="00F35C14">
        <w:rPr>
          <w:sz w:val="22"/>
        </w:rPr>
        <w:t xml:space="preserve">the Central Lancashire Core Strategy </w:t>
      </w:r>
      <w:r w:rsidR="00E24B53">
        <w:rPr>
          <w:sz w:val="22"/>
        </w:rPr>
        <w:t xml:space="preserve">Policies 9: (Economic Growth and Employment) </w:t>
      </w:r>
      <w:r>
        <w:rPr>
          <w:sz w:val="22"/>
        </w:rPr>
        <w:t xml:space="preserve">and </w:t>
      </w:r>
      <w:r w:rsidR="00E24B53">
        <w:rPr>
          <w:sz w:val="22"/>
        </w:rPr>
        <w:t xml:space="preserve">10 (Employment Premises and Sites) and review employment </w:t>
      </w:r>
      <w:r w:rsidRPr="00F35C14">
        <w:rPr>
          <w:sz w:val="22"/>
        </w:rPr>
        <w:t xml:space="preserve">site allocations. </w:t>
      </w:r>
    </w:p>
    <w:p w:rsidR="00F95442" w:rsidRDefault="00F95442" w:rsidP="00F95442">
      <w:pPr>
        <w:pStyle w:val="ListParagraph"/>
        <w:autoSpaceDE w:val="0"/>
        <w:autoSpaceDN w:val="0"/>
        <w:adjustRightInd w:val="0"/>
        <w:spacing w:line="280" w:lineRule="atLeast"/>
        <w:ind w:left="0"/>
        <w:contextualSpacing/>
        <w:rPr>
          <w:sz w:val="22"/>
          <w:szCs w:val="22"/>
        </w:rPr>
      </w:pPr>
    </w:p>
    <w:p w:rsidR="000C5D20" w:rsidRPr="00B85F3A" w:rsidRDefault="000C5D20" w:rsidP="007E36E3">
      <w:pPr>
        <w:pBdr>
          <w:top w:val="single" w:sz="2" w:space="1" w:color="FFFFFF"/>
          <w:left w:val="single" w:sz="2" w:space="0" w:color="FFFFFF"/>
          <w:bottom w:val="single" w:sz="2" w:space="2" w:color="FFFFFF"/>
          <w:right w:val="single" w:sz="2" w:space="4" w:color="FFFFFF"/>
        </w:pBdr>
        <w:tabs>
          <w:tab w:val="left" w:pos="0"/>
          <w:tab w:val="left" w:pos="567"/>
        </w:tabs>
        <w:ind w:right="141"/>
        <w:rPr>
          <w:b/>
          <w:i/>
          <w:strike/>
          <w:sz w:val="20"/>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099"/>
        <w:gridCol w:w="302"/>
        <w:gridCol w:w="1705"/>
        <w:gridCol w:w="204"/>
        <w:gridCol w:w="1656"/>
        <w:gridCol w:w="148"/>
        <w:gridCol w:w="1730"/>
        <w:gridCol w:w="795"/>
      </w:tblGrid>
      <w:tr w:rsidR="00812F12" w:rsidRPr="00B85F3A" w:rsidTr="00183029">
        <w:trPr>
          <w:gridAfter w:val="1"/>
          <w:wAfter w:w="795" w:type="dxa"/>
          <w:trHeight w:hRule="exact" w:val="272"/>
        </w:trPr>
        <w:tc>
          <w:tcPr>
            <w:tcW w:w="3401" w:type="dxa"/>
            <w:gridSpan w:val="2"/>
            <w:tcBorders>
              <w:top w:val="nil"/>
              <w:left w:val="nil"/>
              <w:bottom w:val="single" w:sz="6" w:space="0" w:color="auto"/>
              <w:right w:val="nil"/>
            </w:tcBorders>
          </w:tcPr>
          <w:p w:rsidR="00812F12" w:rsidRPr="00B85F3A" w:rsidRDefault="00812F12" w:rsidP="00147639">
            <w:pPr>
              <w:jc w:val="left"/>
              <w:rPr>
                <w:sz w:val="20"/>
              </w:rPr>
            </w:pPr>
          </w:p>
        </w:tc>
        <w:tc>
          <w:tcPr>
            <w:tcW w:w="1909" w:type="dxa"/>
            <w:gridSpan w:val="2"/>
            <w:tcBorders>
              <w:top w:val="nil"/>
              <w:left w:val="nil"/>
              <w:bottom w:val="single" w:sz="6" w:space="0" w:color="auto"/>
              <w:right w:val="nil"/>
            </w:tcBorders>
          </w:tcPr>
          <w:p w:rsidR="00812F12" w:rsidRPr="00B85F3A" w:rsidRDefault="00812F12" w:rsidP="00183029">
            <w:pPr>
              <w:tabs>
                <w:tab w:val="left" w:pos="567"/>
              </w:tabs>
              <w:spacing w:before="40" w:after="40"/>
              <w:jc w:val="center"/>
              <w:rPr>
                <w:sz w:val="20"/>
              </w:rPr>
            </w:pPr>
          </w:p>
        </w:tc>
        <w:tc>
          <w:tcPr>
            <w:tcW w:w="1656" w:type="dxa"/>
            <w:tcBorders>
              <w:top w:val="nil"/>
              <w:left w:val="nil"/>
              <w:bottom w:val="single" w:sz="6" w:space="0" w:color="auto"/>
              <w:right w:val="nil"/>
            </w:tcBorders>
          </w:tcPr>
          <w:p w:rsidR="00812F12" w:rsidRPr="00B85F3A" w:rsidRDefault="00812F12" w:rsidP="00183029">
            <w:pPr>
              <w:tabs>
                <w:tab w:val="left" w:pos="567"/>
              </w:tabs>
              <w:spacing w:before="40" w:after="40"/>
              <w:jc w:val="center"/>
              <w:rPr>
                <w:sz w:val="20"/>
              </w:rPr>
            </w:pPr>
          </w:p>
        </w:tc>
        <w:tc>
          <w:tcPr>
            <w:tcW w:w="1878" w:type="dxa"/>
            <w:gridSpan w:val="2"/>
            <w:tcBorders>
              <w:top w:val="nil"/>
              <w:left w:val="nil"/>
              <w:bottom w:val="single" w:sz="6" w:space="0" w:color="auto"/>
              <w:right w:val="nil"/>
            </w:tcBorders>
          </w:tcPr>
          <w:p w:rsidR="00812F12" w:rsidRPr="00B85F3A" w:rsidRDefault="00812F12" w:rsidP="00183029">
            <w:pPr>
              <w:tabs>
                <w:tab w:val="left" w:pos="567"/>
              </w:tabs>
              <w:spacing w:before="40" w:after="40"/>
              <w:jc w:val="center"/>
              <w:rPr>
                <w:sz w:val="20"/>
              </w:rPr>
            </w:pPr>
          </w:p>
        </w:tc>
      </w:tr>
      <w:tr w:rsidR="00812F12" w:rsidRPr="00B85F3A" w:rsidTr="00183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rsidR="00812F12" w:rsidRPr="00B85F3A" w:rsidRDefault="00812F12" w:rsidP="00183029">
            <w:pPr>
              <w:tabs>
                <w:tab w:val="left" w:pos="567"/>
              </w:tabs>
              <w:jc w:val="center"/>
              <w:rPr>
                <w:b/>
                <w:sz w:val="20"/>
              </w:rPr>
            </w:pPr>
            <w:r w:rsidRPr="00B85F3A">
              <w:rPr>
                <w:b/>
                <w:sz w:val="20"/>
              </w:rPr>
              <w:t>Report Author</w:t>
            </w:r>
          </w:p>
        </w:tc>
        <w:tc>
          <w:tcPr>
            <w:tcW w:w="2007" w:type="dxa"/>
            <w:gridSpan w:val="2"/>
            <w:vAlign w:val="center"/>
          </w:tcPr>
          <w:p w:rsidR="00812F12" w:rsidRPr="00B85F3A" w:rsidRDefault="00812F12" w:rsidP="00183029">
            <w:pPr>
              <w:tabs>
                <w:tab w:val="left" w:pos="567"/>
              </w:tabs>
              <w:jc w:val="center"/>
              <w:rPr>
                <w:b/>
                <w:sz w:val="20"/>
              </w:rPr>
            </w:pPr>
            <w:r w:rsidRPr="00B85F3A">
              <w:rPr>
                <w:b/>
                <w:sz w:val="20"/>
              </w:rPr>
              <w:t>Ext</w:t>
            </w:r>
          </w:p>
        </w:tc>
        <w:tc>
          <w:tcPr>
            <w:tcW w:w="2008" w:type="dxa"/>
            <w:gridSpan w:val="3"/>
            <w:vAlign w:val="center"/>
          </w:tcPr>
          <w:p w:rsidR="00812F12" w:rsidRPr="00B85F3A" w:rsidRDefault="00812F12" w:rsidP="00183029">
            <w:pPr>
              <w:tabs>
                <w:tab w:val="left" w:pos="567"/>
              </w:tabs>
              <w:jc w:val="center"/>
              <w:rPr>
                <w:b/>
                <w:sz w:val="20"/>
              </w:rPr>
            </w:pPr>
            <w:r w:rsidRPr="00B85F3A">
              <w:rPr>
                <w:b/>
                <w:sz w:val="20"/>
              </w:rPr>
              <w:t>Date</w:t>
            </w:r>
          </w:p>
        </w:tc>
        <w:tc>
          <w:tcPr>
            <w:tcW w:w="2525" w:type="dxa"/>
            <w:gridSpan w:val="2"/>
            <w:vAlign w:val="center"/>
          </w:tcPr>
          <w:p w:rsidR="00812F12" w:rsidRPr="00B85F3A" w:rsidRDefault="00812F12" w:rsidP="00183029">
            <w:pPr>
              <w:tabs>
                <w:tab w:val="left" w:pos="567"/>
              </w:tabs>
              <w:jc w:val="center"/>
              <w:rPr>
                <w:b/>
                <w:sz w:val="20"/>
              </w:rPr>
            </w:pPr>
            <w:r w:rsidRPr="00B85F3A">
              <w:rPr>
                <w:b/>
                <w:sz w:val="20"/>
              </w:rPr>
              <w:t>Doc ID</w:t>
            </w:r>
          </w:p>
        </w:tc>
      </w:tr>
      <w:tr w:rsidR="00812F12" w:rsidRPr="00B85F3A" w:rsidTr="00183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22"/>
        </w:trPr>
        <w:tc>
          <w:tcPr>
            <w:tcW w:w="3099" w:type="dxa"/>
            <w:vAlign w:val="center"/>
          </w:tcPr>
          <w:p w:rsidR="00812F12" w:rsidRPr="00B85F3A" w:rsidRDefault="001D5CF2" w:rsidP="00812F12">
            <w:pPr>
              <w:tabs>
                <w:tab w:val="left" w:pos="567"/>
              </w:tabs>
              <w:jc w:val="center"/>
              <w:rPr>
                <w:sz w:val="20"/>
              </w:rPr>
            </w:pPr>
            <w:r>
              <w:rPr>
                <w:sz w:val="20"/>
              </w:rPr>
              <w:t>Alison Marland</w:t>
            </w:r>
          </w:p>
        </w:tc>
        <w:tc>
          <w:tcPr>
            <w:tcW w:w="2007" w:type="dxa"/>
            <w:gridSpan w:val="2"/>
            <w:vAlign w:val="center"/>
          </w:tcPr>
          <w:p w:rsidR="00812F12" w:rsidRPr="00B85F3A" w:rsidRDefault="00D35735" w:rsidP="00183029">
            <w:pPr>
              <w:tabs>
                <w:tab w:val="left" w:pos="567"/>
              </w:tabs>
              <w:jc w:val="center"/>
              <w:rPr>
                <w:sz w:val="20"/>
              </w:rPr>
            </w:pPr>
            <w:r>
              <w:rPr>
                <w:sz w:val="20"/>
              </w:rPr>
              <w:t>01257 51</w:t>
            </w:r>
            <w:r w:rsidR="00812F12">
              <w:rPr>
                <w:sz w:val="20"/>
              </w:rPr>
              <w:t>5</w:t>
            </w:r>
            <w:r w:rsidR="001D5CF2">
              <w:rPr>
                <w:sz w:val="20"/>
              </w:rPr>
              <w:t>2</w:t>
            </w:r>
            <w:r w:rsidR="000E3A56">
              <w:rPr>
                <w:sz w:val="20"/>
              </w:rPr>
              <w:t>81</w:t>
            </w:r>
          </w:p>
        </w:tc>
        <w:tc>
          <w:tcPr>
            <w:tcW w:w="2008" w:type="dxa"/>
            <w:gridSpan w:val="3"/>
            <w:vAlign w:val="center"/>
          </w:tcPr>
          <w:p w:rsidR="00812F12" w:rsidRPr="00B85F3A" w:rsidRDefault="00D35270" w:rsidP="00D35270">
            <w:pPr>
              <w:tabs>
                <w:tab w:val="left" w:pos="567"/>
              </w:tabs>
              <w:jc w:val="center"/>
              <w:rPr>
                <w:sz w:val="20"/>
              </w:rPr>
            </w:pPr>
            <w:r>
              <w:rPr>
                <w:sz w:val="20"/>
              </w:rPr>
              <w:t>15/01/</w:t>
            </w:r>
            <w:r w:rsidR="000E3A56">
              <w:rPr>
                <w:sz w:val="20"/>
              </w:rPr>
              <w:t>1</w:t>
            </w:r>
            <w:r w:rsidR="00D35735">
              <w:rPr>
                <w:sz w:val="20"/>
              </w:rPr>
              <w:t>7</w:t>
            </w:r>
          </w:p>
        </w:tc>
        <w:tc>
          <w:tcPr>
            <w:tcW w:w="2525" w:type="dxa"/>
            <w:gridSpan w:val="2"/>
            <w:vAlign w:val="center"/>
          </w:tcPr>
          <w:p w:rsidR="00812F12" w:rsidRPr="00B85F3A" w:rsidRDefault="00812F12" w:rsidP="00183029">
            <w:pPr>
              <w:tabs>
                <w:tab w:val="left" w:pos="567"/>
              </w:tabs>
              <w:jc w:val="center"/>
              <w:rPr>
                <w:sz w:val="14"/>
              </w:rPr>
            </w:pPr>
            <w:r w:rsidRPr="00B85F3A">
              <w:rPr>
                <w:sz w:val="14"/>
              </w:rPr>
              <w:t>***</w:t>
            </w:r>
          </w:p>
        </w:tc>
      </w:tr>
    </w:tbl>
    <w:p w:rsidR="000C5D20" w:rsidRPr="00B85F3A" w:rsidRDefault="000C5D20" w:rsidP="00812F12">
      <w:pPr>
        <w:pBdr>
          <w:left w:val="single" w:sz="2" w:space="0" w:color="FFFFFF"/>
          <w:bottom w:val="single" w:sz="2" w:space="2" w:color="FFFFFF"/>
          <w:right w:val="single" w:sz="2" w:space="4" w:color="FFFFFF"/>
        </w:pBdr>
        <w:tabs>
          <w:tab w:val="left" w:pos="567"/>
        </w:tabs>
      </w:pPr>
    </w:p>
    <w:sectPr w:rsidR="000C5D20" w:rsidRPr="00B85F3A" w:rsidSect="004B1788">
      <w:headerReference w:type="first" r:id="rId16"/>
      <w:footerReference w:type="first" r:id="rId17"/>
      <w:pgSz w:w="11907" w:h="16840" w:code="9"/>
      <w:pgMar w:top="1134" w:right="1134" w:bottom="737" w:left="1134" w:header="680" w:footer="3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A0" w:rsidRDefault="008C78A0">
      <w:r>
        <w:separator/>
      </w:r>
    </w:p>
  </w:endnote>
  <w:endnote w:type="continuationSeparator" w:id="0">
    <w:p w:rsidR="008C78A0" w:rsidRDefault="008C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35" w:rsidRDefault="00F15D35">
    <w:pPr>
      <w:pStyle w:val="Footer"/>
      <w:tabs>
        <w:tab w:val="clear" w:pos="8640"/>
        <w:tab w:val="right" w:pos="8522"/>
      </w:tabs>
      <w:ind w:left="142"/>
      <w:rPr>
        <w:sz w:val="4"/>
      </w:rPr>
    </w:pPr>
  </w:p>
  <w:p w:rsidR="00F15D35" w:rsidRDefault="00F15D35">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A0" w:rsidRDefault="008C78A0">
      <w:r>
        <w:separator/>
      </w:r>
    </w:p>
  </w:footnote>
  <w:footnote w:type="continuationSeparator" w:id="0">
    <w:p w:rsidR="008C78A0" w:rsidRDefault="008C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35" w:rsidRDefault="00F15D35">
    <w:pPr>
      <w:pStyle w:val="Header"/>
      <w:rPr>
        <w:rFonts w:ascii="Arial Black" w:hAnsi="Arial Black"/>
        <w:sz w:val="16"/>
      </w:rPr>
    </w:pPr>
  </w:p>
  <w:p w:rsidR="00F15D35" w:rsidRDefault="00F15D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28F"/>
    <w:multiLevelType w:val="hybridMultilevel"/>
    <w:tmpl w:val="17684960"/>
    <w:lvl w:ilvl="0" w:tplc="08090001">
      <w:start w:val="1"/>
      <w:numFmt w:val="bullet"/>
      <w:lvlText w:val=""/>
      <w:lvlJc w:val="left"/>
      <w:pPr>
        <w:ind w:left="567" w:hanging="360"/>
      </w:pPr>
      <w:rPr>
        <w:rFonts w:ascii="Symbol" w:hAnsi="Symbol" w:hint="default"/>
      </w:rPr>
    </w:lvl>
    <w:lvl w:ilvl="1" w:tplc="08090003">
      <w:start w:val="1"/>
      <w:numFmt w:val="bullet"/>
      <w:lvlText w:val="o"/>
      <w:lvlJc w:val="left"/>
      <w:pPr>
        <w:ind w:left="1287" w:hanging="360"/>
      </w:pPr>
      <w:rPr>
        <w:rFonts w:ascii="Courier New" w:hAnsi="Courier New" w:cs="Courier New" w:hint="default"/>
      </w:rPr>
    </w:lvl>
    <w:lvl w:ilvl="2" w:tplc="FFCE4A64">
      <w:numFmt w:val="bullet"/>
      <w:lvlText w:val="•"/>
      <w:lvlJc w:val="left"/>
      <w:pPr>
        <w:ind w:left="2007" w:hanging="360"/>
      </w:pPr>
      <w:rPr>
        <w:rFonts w:ascii="Arial" w:eastAsia="Times New Roman" w:hAnsi="Arial" w:cs="Arial" w:hint="default"/>
        <w:b w:val="0"/>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1">
    <w:nsid w:val="138916F7"/>
    <w:multiLevelType w:val="hybridMultilevel"/>
    <w:tmpl w:val="970C4FB2"/>
    <w:lvl w:ilvl="0" w:tplc="18444EC6">
      <w:start w:val="11"/>
      <w:numFmt w:val="decimal"/>
      <w:lvlText w:val="%1."/>
      <w:lvlJc w:val="left"/>
      <w:pPr>
        <w:tabs>
          <w:tab w:val="num" w:pos="1065"/>
        </w:tabs>
        <w:ind w:left="1065" w:hanging="705"/>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5B06D2"/>
    <w:multiLevelType w:val="hybridMultilevel"/>
    <w:tmpl w:val="237CC34C"/>
    <w:lvl w:ilvl="0" w:tplc="CD6ADAAC">
      <w:start w:val="1"/>
      <w:numFmt w:val="decimal"/>
      <w:lvlText w:val="%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4773A1"/>
    <w:multiLevelType w:val="hybridMultilevel"/>
    <w:tmpl w:val="598A88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D5F0498"/>
    <w:multiLevelType w:val="hybridMultilevel"/>
    <w:tmpl w:val="F30C9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68323B"/>
    <w:multiLevelType w:val="hybridMultilevel"/>
    <w:tmpl w:val="8F3A2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41C39"/>
    <w:multiLevelType w:val="hybridMultilevel"/>
    <w:tmpl w:val="49B04D14"/>
    <w:lvl w:ilvl="0" w:tplc="6FEE9A3A">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877A8"/>
    <w:multiLevelType w:val="hybridMultilevel"/>
    <w:tmpl w:val="693450EC"/>
    <w:lvl w:ilvl="0" w:tplc="FC9204C2">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A17737"/>
    <w:multiLevelType w:val="hybridMultilevel"/>
    <w:tmpl w:val="A1E41DD6"/>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nsid w:val="313612B0"/>
    <w:multiLevelType w:val="hybridMultilevel"/>
    <w:tmpl w:val="52282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5857AF7"/>
    <w:multiLevelType w:val="hybridMultilevel"/>
    <w:tmpl w:val="2F80A7B0"/>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36FB6AC0"/>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8E57EC"/>
    <w:multiLevelType w:val="hybridMultilevel"/>
    <w:tmpl w:val="1B7A92E8"/>
    <w:lvl w:ilvl="0" w:tplc="38BAB53E">
      <w:start w:val="1"/>
      <w:numFmt w:val="decimal"/>
      <w:lvlText w:val="%1."/>
      <w:lvlJc w:val="left"/>
      <w:pPr>
        <w:ind w:left="1070" w:hanging="360"/>
      </w:pPr>
      <w:rPr>
        <w:rFonts w:ascii="Arial" w:eastAsia="Times New Roman" w:hAnsi="Arial" w:cs="Arial"/>
        <w:b/>
        <w:i w:val="0"/>
        <w:sz w:val="22"/>
      </w:rPr>
    </w:lvl>
    <w:lvl w:ilvl="1" w:tplc="08090019">
      <w:start w:val="1"/>
      <w:numFmt w:val="decimal"/>
      <w:lvlText w:val="%2."/>
      <w:lvlJc w:val="left"/>
      <w:pPr>
        <w:tabs>
          <w:tab w:val="num" w:pos="1790"/>
        </w:tabs>
        <w:ind w:left="1790" w:hanging="360"/>
      </w:pPr>
    </w:lvl>
    <w:lvl w:ilvl="2" w:tplc="0809001B">
      <w:start w:val="1"/>
      <w:numFmt w:val="decimal"/>
      <w:lvlText w:val="%3."/>
      <w:lvlJc w:val="left"/>
      <w:pPr>
        <w:tabs>
          <w:tab w:val="num" w:pos="2510"/>
        </w:tabs>
        <w:ind w:left="2510" w:hanging="360"/>
      </w:pPr>
    </w:lvl>
    <w:lvl w:ilvl="3" w:tplc="0809000F">
      <w:start w:val="1"/>
      <w:numFmt w:val="decimal"/>
      <w:lvlText w:val="%4."/>
      <w:lvlJc w:val="left"/>
      <w:pPr>
        <w:tabs>
          <w:tab w:val="num" w:pos="3230"/>
        </w:tabs>
        <w:ind w:left="3230" w:hanging="360"/>
      </w:pPr>
    </w:lvl>
    <w:lvl w:ilvl="4" w:tplc="08090019">
      <w:start w:val="1"/>
      <w:numFmt w:val="decimal"/>
      <w:lvlText w:val="%5."/>
      <w:lvlJc w:val="left"/>
      <w:pPr>
        <w:tabs>
          <w:tab w:val="num" w:pos="3950"/>
        </w:tabs>
        <w:ind w:left="3950" w:hanging="360"/>
      </w:pPr>
    </w:lvl>
    <w:lvl w:ilvl="5" w:tplc="0809001B">
      <w:start w:val="1"/>
      <w:numFmt w:val="decimal"/>
      <w:lvlText w:val="%6."/>
      <w:lvlJc w:val="left"/>
      <w:pPr>
        <w:tabs>
          <w:tab w:val="num" w:pos="4670"/>
        </w:tabs>
        <w:ind w:left="4670" w:hanging="360"/>
      </w:pPr>
    </w:lvl>
    <w:lvl w:ilvl="6" w:tplc="0809000F">
      <w:start w:val="1"/>
      <w:numFmt w:val="decimal"/>
      <w:lvlText w:val="%7."/>
      <w:lvlJc w:val="left"/>
      <w:pPr>
        <w:tabs>
          <w:tab w:val="num" w:pos="5390"/>
        </w:tabs>
        <w:ind w:left="5390" w:hanging="360"/>
      </w:pPr>
    </w:lvl>
    <w:lvl w:ilvl="7" w:tplc="08090019">
      <w:start w:val="1"/>
      <w:numFmt w:val="decimal"/>
      <w:lvlText w:val="%8."/>
      <w:lvlJc w:val="left"/>
      <w:pPr>
        <w:tabs>
          <w:tab w:val="num" w:pos="6110"/>
        </w:tabs>
        <w:ind w:left="6110" w:hanging="360"/>
      </w:pPr>
    </w:lvl>
    <w:lvl w:ilvl="8" w:tplc="0809001B">
      <w:start w:val="1"/>
      <w:numFmt w:val="decimal"/>
      <w:lvlText w:val="%9."/>
      <w:lvlJc w:val="left"/>
      <w:pPr>
        <w:tabs>
          <w:tab w:val="num" w:pos="6830"/>
        </w:tabs>
        <w:ind w:left="6830" w:hanging="360"/>
      </w:pPr>
    </w:lvl>
  </w:abstractNum>
  <w:abstractNum w:abstractNumId="13">
    <w:nsid w:val="3FF01EAC"/>
    <w:multiLevelType w:val="hybridMultilevel"/>
    <w:tmpl w:val="EC9E1246"/>
    <w:lvl w:ilvl="0" w:tplc="C5807084">
      <w:start w:val="2"/>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172016A"/>
    <w:multiLevelType w:val="hybridMultilevel"/>
    <w:tmpl w:val="FFCCC6C0"/>
    <w:lvl w:ilvl="0" w:tplc="5D8ACA4A">
      <w:start w:val="2"/>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BC927E8"/>
    <w:multiLevelType w:val="hybridMultilevel"/>
    <w:tmpl w:val="5664B05C"/>
    <w:lvl w:ilvl="0" w:tplc="50EE4AEA">
      <w:numFmt w:val="bullet"/>
      <w:lvlText w:val=""/>
      <w:lvlJc w:val="left"/>
      <w:pPr>
        <w:ind w:left="1287" w:hanging="360"/>
      </w:pPr>
      <w:rPr>
        <w:rFonts w:ascii="Symbol" w:eastAsia="Times New Roman" w:hAnsi="Symbo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6082B71"/>
    <w:multiLevelType w:val="hybridMultilevel"/>
    <w:tmpl w:val="44B6808C"/>
    <w:lvl w:ilvl="0" w:tplc="27680F82">
      <w:start w:val="5"/>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A1349A"/>
    <w:multiLevelType w:val="hybridMultilevel"/>
    <w:tmpl w:val="68C6E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B10084"/>
    <w:multiLevelType w:val="hybridMultilevel"/>
    <w:tmpl w:val="19C034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5EC211BA"/>
    <w:multiLevelType w:val="hybridMultilevel"/>
    <w:tmpl w:val="9BD82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346691"/>
    <w:multiLevelType w:val="multilevel"/>
    <w:tmpl w:val="EC9E1246"/>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522DC4"/>
    <w:multiLevelType w:val="multilevel"/>
    <w:tmpl w:val="103E9C6E"/>
    <w:lvl w:ilvl="0">
      <w:start w:val="1"/>
      <w:numFmt w:val="decimal"/>
      <w:lvlText w:val="%1."/>
      <w:lvlJc w:val="left"/>
      <w:pPr>
        <w:tabs>
          <w:tab w:val="num" w:pos="1065"/>
        </w:tabs>
        <w:ind w:left="1065" w:hanging="10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ED94160"/>
    <w:multiLevelType w:val="hybridMultilevel"/>
    <w:tmpl w:val="5D8E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1871A8"/>
    <w:multiLevelType w:val="hybridMultilevel"/>
    <w:tmpl w:val="F73EB132"/>
    <w:lvl w:ilvl="0" w:tplc="08090001">
      <w:start w:val="1"/>
      <w:numFmt w:val="bullet"/>
      <w:lvlText w:val=""/>
      <w:lvlJc w:val="left"/>
      <w:pPr>
        <w:ind w:left="1430" w:hanging="360"/>
      </w:pPr>
      <w:rPr>
        <w:rFonts w:ascii="Symbol" w:hAnsi="Symbol" w:hint="default"/>
        <w:b w:val="0"/>
        <w:i w:val="0"/>
        <w:sz w:val="22"/>
      </w:rPr>
    </w:lvl>
    <w:lvl w:ilvl="1" w:tplc="08090019">
      <w:start w:val="1"/>
      <w:numFmt w:val="decimal"/>
      <w:lvlText w:val="%2."/>
      <w:lvlJc w:val="left"/>
      <w:pPr>
        <w:tabs>
          <w:tab w:val="num" w:pos="2150"/>
        </w:tabs>
        <w:ind w:left="2150" w:hanging="360"/>
      </w:pPr>
    </w:lvl>
    <w:lvl w:ilvl="2" w:tplc="0809001B">
      <w:start w:val="1"/>
      <w:numFmt w:val="decimal"/>
      <w:lvlText w:val="%3."/>
      <w:lvlJc w:val="left"/>
      <w:pPr>
        <w:tabs>
          <w:tab w:val="num" w:pos="2870"/>
        </w:tabs>
        <w:ind w:left="2870" w:hanging="360"/>
      </w:pPr>
    </w:lvl>
    <w:lvl w:ilvl="3" w:tplc="0809000F">
      <w:start w:val="1"/>
      <w:numFmt w:val="decimal"/>
      <w:lvlText w:val="%4."/>
      <w:lvlJc w:val="left"/>
      <w:pPr>
        <w:tabs>
          <w:tab w:val="num" w:pos="3590"/>
        </w:tabs>
        <w:ind w:left="3590" w:hanging="360"/>
      </w:pPr>
    </w:lvl>
    <w:lvl w:ilvl="4" w:tplc="08090019">
      <w:start w:val="1"/>
      <w:numFmt w:val="decimal"/>
      <w:lvlText w:val="%5."/>
      <w:lvlJc w:val="left"/>
      <w:pPr>
        <w:tabs>
          <w:tab w:val="num" w:pos="4310"/>
        </w:tabs>
        <w:ind w:left="4310" w:hanging="360"/>
      </w:pPr>
    </w:lvl>
    <w:lvl w:ilvl="5" w:tplc="0809001B">
      <w:start w:val="1"/>
      <w:numFmt w:val="decimal"/>
      <w:lvlText w:val="%6."/>
      <w:lvlJc w:val="left"/>
      <w:pPr>
        <w:tabs>
          <w:tab w:val="num" w:pos="5030"/>
        </w:tabs>
        <w:ind w:left="5030" w:hanging="360"/>
      </w:pPr>
    </w:lvl>
    <w:lvl w:ilvl="6" w:tplc="0809000F">
      <w:start w:val="1"/>
      <w:numFmt w:val="decimal"/>
      <w:lvlText w:val="%7."/>
      <w:lvlJc w:val="left"/>
      <w:pPr>
        <w:tabs>
          <w:tab w:val="num" w:pos="5750"/>
        </w:tabs>
        <w:ind w:left="5750" w:hanging="360"/>
      </w:pPr>
    </w:lvl>
    <w:lvl w:ilvl="7" w:tplc="08090019">
      <w:start w:val="1"/>
      <w:numFmt w:val="decimal"/>
      <w:lvlText w:val="%8."/>
      <w:lvlJc w:val="left"/>
      <w:pPr>
        <w:tabs>
          <w:tab w:val="num" w:pos="6470"/>
        </w:tabs>
        <w:ind w:left="6470" w:hanging="360"/>
      </w:pPr>
    </w:lvl>
    <w:lvl w:ilvl="8" w:tplc="0809001B">
      <w:start w:val="1"/>
      <w:numFmt w:val="decimal"/>
      <w:lvlText w:val="%9."/>
      <w:lvlJc w:val="left"/>
      <w:pPr>
        <w:tabs>
          <w:tab w:val="num" w:pos="7190"/>
        </w:tabs>
        <w:ind w:left="7190" w:hanging="360"/>
      </w:pPr>
    </w:lvl>
  </w:abstractNum>
  <w:num w:numId="1">
    <w:abstractNumId w:val="1"/>
  </w:num>
  <w:num w:numId="2">
    <w:abstractNumId w:val="13"/>
  </w:num>
  <w:num w:numId="3">
    <w:abstractNumId w:val="20"/>
  </w:num>
  <w:num w:numId="4">
    <w:abstractNumId w:val="11"/>
  </w:num>
  <w:num w:numId="5">
    <w:abstractNumId w:val="17"/>
  </w:num>
  <w:num w:numId="6">
    <w:abstractNumId w:val="2"/>
  </w:num>
  <w:num w:numId="7">
    <w:abstractNumId w:val="16"/>
  </w:num>
  <w:num w:numId="8">
    <w:abstractNumId w:val="21"/>
  </w:num>
  <w:num w:numId="9">
    <w:abstractNumId w:val="8"/>
  </w:num>
  <w:num w:numId="10">
    <w:abstractNumId w:val="3"/>
  </w:num>
  <w:num w:numId="11">
    <w:abstractNumId w:val="4"/>
  </w:num>
  <w:num w:numId="12">
    <w:abstractNumId w:val="19"/>
  </w:num>
  <w:num w:numId="13">
    <w:abstractNumId w:val="5"/>
  </w:num>
  <w:num w:numId="14">
    <w:abstractNumId w:val="10"/>
  </w:num>
  <w:num w:numId="15">
    <w:abstractNumId w:val="15"/>
  </w:num>
  <w:num w:numId="16">
    <w:abstractNumId w:val="14"/>
  </w:num>
  <w:num w:numId="17">
    <w:abstractNumId w:val="12"/>
  </w:num>
  <w:num w:numId="18">
    <w:abstractNumId w:val="23"/>
  </w:num>
  <w:num w:numId="19">
    <w:abstractNumId w:val="7"/>
  </w:num>
  <w:num w:numId="20">
    <w:abstractNumId w:val="9"/>
  </w:num>
  <w:num w:numId="21">
    <w:abstractNumId w:val="0"/>
  </w:num>
  <w:num w:numId="22">
    <w:abstractNumId w:val="18"/>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F3"/>
    <w:rsid w:val="0000665C"/>
    <w:rsid w:val="000310FA"/>
    <w:rsid w:val="000373DA"/>
    <w:rsid w:val="00051D11"/>
    <w:rsid w:val="0008391D"/>
    <w:rsid w:val="0009120B"/>
    <w:rsid w:val="000B6CEA"/>
    <w:rsid w:val="000C5D20"/>
    <w:rsid w:val="000C6541"/>
    <w:rsid w:val="000C7086"/>
    <w:rsid w:val="000D0A47"/>
    <w:rsid w:val="000D28BA"/>
    <w:rsid w:val="000E3A56"/>
    <w:rsid w:val="000E5541"/>
    <w:rsid w:val="00102281"/>
    <w:rsid w:val="00107608"/>
    <w:rsid w:val="001315D6"/>
    <w:rsid w:val="001425A9"/>
    <w:rsid w:val="00147639"/>
    <w:rsid w:val="00153811"/>
    <w:rsid w:val="00157F08"/>
    <w:rsid w:val="001616A1"/>
    <w:rsid w:val="001766F3"/>
    <w:rsid w:val="001A27DF"/>
    <w:rsid w:val="001B4EAB"/>
    <w:rsid w:val="001D5CF2"/>
    <w:rsid w:val="002133AF"/>
    <w:rsid w:val="00232D94"/>
    <w:rsid w:val="00233FB1"/>
    <w:rsid w:val="00240030"/>
    <w:rsid w:val="00242B44"/>
    <w:rsid w:val="002468CC"/>
    <w:rsid w:val="0025206B"/>
    <w:rsid w:val="00264EDF"/>
    <w:rsid w:val="00270CBC"/>
    <w:rsid w:val="002A11E3"/>
    <w:rsid w:val="002A3517"/>
    <w:rsid w:val="002C35F8"/>
    <w:rsid w:val="002D004F"/>
    <w:rsid w:val="002D15B9"/>
    <w:rsid w:val="002D1B79"/>
    <w:rsid w:val="002D410B"/>
    <w:rsid w:val="002E0342"/>
    <w:rsid w:val="002F57D8"/>
    <w:rsid w:val="0032111C"/>
    <w:rsid w:val="00321689"/>
    <w:rsid w:val="00331A30"/>
    <w:rsid w:val="003340EE"/>
    <w:rsid w:val="0038213C"/>
    <w:rsid w:val="00382ADD"/>
    <w:rsid w:val="00391D8E"/>
    <w:rsid w:val="00392401"/>
    <w:rsid w:val="003C14EE"/>
    <w:rsid w:val="003C6CA5"/>
    <w:rsid w:val="003D3566"/>
    <w:rsid w:val="003D7CF5"/>
    <w:rsid w:val="003F4C49"/>
    <w:rsid w:val="004262D0"/>
    <w:rsid w:val="0045371E"/>
    <w:rsid w:val="00454F7D"/>
    <w:rsid w:val="00460CBF"/>
    <w:rsid w:val="00461CD1"/>
    <w:rsid w:val="004705DA"/>
    <w:rsid w:val="0049390D"/>
    <w:rsid w:val="004A1C3E"/>
    <w:rsid w:val="004A265E"/>
    <w:rsid w:val="004A78B0"/>
    <w:rsid w:val="004B1788"/>
    <w:rsid w:val="004D3693"/>
    <w:rsid w:val="004D6592"/>
    <w:rsid w:val="00501C50"/>
    <w:rsid w:val="0050215C"/>
    <w:rsid w:val="00506510"/>
    <w:rsid w:val="00512039"/>
    <w:rsid w:val="005319C7"/>
    <w:rsid w:val="005409E7"/>
    <w:rsid w:val="00554514"/>
    <w:rsid w:val="0056320F"/>
    <w:rsid w:val="00596D9C"/>
    <w:rsid w:val="005A17C4"/>
    <w:rsid w:val="005A3CFB"/>
    <w:rsid w:val="005B330B"/>
    <w:rsid w:val="005C0A52"/>
    <w:rsid w:val="005D660B"/>
    <w:rsid w:val="005F116B"/>
    <w:rsid w:val="005F1B68"/>
    <w:rsid w:val="005F1E6F"/>
    <w:rsid w:val="005F3529"/>
    <w:rsid w:val="006005C5"/>
    <w:rsid w:val="00601D5A"/>
    <w:rsid w:val="00667AB4"/>
    <w:rsid w:val="00680A97"/>
    <w:rsid w:val="0069420C"/>
    <w:rsid w:val="006A5A48"/>
    <w:rsid w:val="006B525F"/>
    <w:rsid w:val="006E1B37"/>
    <w:rsid w:val="006E5FAD"/>
    <w:rsid w:val="006E61EB"/>
    <w:rsid w:val="00726DD4"/>
    <w:rsid w:val="007279EF"/>
    <w:rsid w:val="00730BD5"/>
    <w:rsid w:val="007573CD"/>
    <w:rsid w:val="00774CCA"/>
    <w:rsid w:val="007978F8"/>
    <w:rsid w:val="007C10FE"/>
    <w:rsid w:val="007E36E3"/>
    <w:rsid w:val="007F5862"/>
    <w:rsid w:val="00801D0B"/>
    <w:rsid w:val="008038EF"/>
    <w:rsid w:val="00812F12"/>
    <w:rsid w:val="008471EC"/>
    <w:rsid w:val="00851A69"/>
    <w:rsid w:val="0086166C"/>
    <w:rsid w:val="00870FAB"/>
    <w:rsid w:val="00876BBF"/>
    <w:rsid w:val="008B5EA2"/>
    <w:rsid w:val="008C78A0"/>
    <w:rsid w:val="008D481D"/>
    <w:rsid w:val="00900980"/>
    <w:rsid w:val="00930295"/>
    <w:rsid w:val="00941216"/>
    <w:rsid w:val="00975418"/>
    <w:rsid w:val="009B7699"/>
    <w:rsid w:val="009C1DC7"/>
    <w:rsid w:val="009C2F91"/>
    <w:rsid w:val="009D5C35"/>
    <w:rsid w:val="009F295D"/>
    <w:rsid w:val="00A06ED4"/>
    <w:rsid w:val="00A2073E"/>
    <w:rsid w:val="00A21FB6"/>
    <w:rsid w:val="00A22E93"/>
    <w:rsid w:val="00A30E5E"/>
    <w:rsid w:val="00A43A23"/>
    <w:rsid w:val="00A4417B"/>
    <w:rsid w:val="00A60CFA"/>
    <w:rsid w:val="00A8648F"/>
    <w:rsid w:val="00AB67CB"/>
    <w:rsid w:val="00B13665"/>
    <w:rsid w:val="00B232CA"/>
    <w:rsid w:val="00B72287"/>
    <w:rsid w:val="00B85F3A"/>
    <w:rsid w:val="00B87A92"/>
    <w:rsid w:val="00B90A7D"/>
    <w:rsid w:val="00B931AE"/>
    <w:rsid w:val="00B95A63"/>
    <w:rsid w:val="00BA0F42"/>
    <w:rsid w:val="00BA2F87"/>
    <w:rsid w:val="00BD035E"/>
    <w:rsid w:val="00BD7030"/>
    <w:rsid w:val="00C046A4"/>
    <w:rsid w:val="00C426E1"/>
    <w:rsid w:val="00C752BE"/>
    <w:rsid w:val="00CA40CB"/>
    <w:rsid w:val="00CB14FF"/>
    <w:rsid w:val="00CE3DC7"/>
    <w:rsid w:val="00D0204B"/>
    <w:rsid w:val="00D2027B"/>
    <w:rsid w:val="00D35270"/>
    <w:rsid w:val="00D35735"/>
    <w:rsid w:val="00D92631"/>
    <w:rsid w:val="00DA4D0B"/>
    <w:rsid w:val="00DB3D4D"/>
    <w:rsid w:val="00DC5961"/>
    <w:rsid w:val="00DD2FB5"/>
    <w:rsid w:val="00DF288F"/>
    <w:rsid w:val="00E137AA"/>
    <w:rsid w:val="00E24B53"/>
    <w:rsid w:val="00E420F5"/>
    <w:rsid w:val="00E45870"/>
    <w:rsid w:val="00E50ADD"/>
    <w:rsid w:val="00EB4983"/>
    <w:rsid w:val="00EC3886"/>
    <w:rsid w:val="00EC6B59"/>
    <w:rsid w:val="00ED21AF"/>
    <w:rsid w:val="00ED7571"/>
    <w:rsid w:val="00EF09B2"/>
    <w:rsid w:val="00EF3481"/>
    <w:rsid w:val="00F15D35"/>
    <w:rsid w:val="00F35C14"/>
    <w:rsid w:val="00F36803"/>
    <w:rsid w:val="00F37BE8"/>
    <w:rsid w:val="00F67FFC"/>
    <w:rsid w:val="00F74B78"/>
    <w:rsid w:val="00F95442"/>
    <w:rsid w:val="00FD3467"/>
    <w:rsid w:val="00FE6DF8"/>
    <w:rsid w:val="00FF4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uiPriority w:val="39"/>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F5 List Paragraph,List Paragraph1,List Paragraph11,Bullet"/>
    <w:basedOn w:val="Normal"/>
    <w:link w:val="ListParagraphChar"/>
    <w:uiPriority w:val="34"/>
    <w:qFormat/>
    <w:rsid w:val="00A60CFA"/>
    <w:pPr>
      <w:ind w:left="720"/>
    </w:pPr>
  </w:style>
  <w:style w:type="paragraph" w:customStyle="1" w:styleId="Default">
    <w:name w:val="Default"/>
    <w:rsid w:val="00A60CFA"/>
    <w:pPr>
      <w:autoSpaceDE w:val="0"/>
      <w:autoSpaceDN w:val="0"/>
      <w:adjustRightInd w:val="0"/>
    </w:pPr>
    <w:rPr>
      <w:rFonts w:ascii="Calibri" w:eastAsia="Calibri" w:hAnsi="Calibri" w:cs="Calibri"/>
      <w:color w:val="000000"/>
      <w:sz w:val="24"/>
      <w:szCs w:val="24"/>
      <w:lang w:eastAsia="en-US"/>
    </w:rPr>
  </w:style>
  <w:style w:type="paragraph" w:styleId="BodyText3">
    <w:name w:val="Body Text 3"/>
    <w:basedOn w:val="Normal"/>
    <w:link w:val="BodyText3Char"/>
    <w:rsid w:val="00A60CFA"/>
    <w:pPr>
      <w:spacing w:after="120"/>
    </w:pPr>
    <w:rPr>
      <w:sz w:val="16"/>
      <w:szCs w:val="16"/>
    </w:rPr>
  </w:style>
  <w:style w:type="character" w:customStyle="1" w:styleId="BodyText3Char">
    <w:name w:val="Body Text 3 Char"/>
    <w:link w:val="BodyText3"/>
    <w:rsid w:val="00A60CFA"/>
    <w:rPr>
      <w:rFonts w:ascii="Arial" w:hAnsi="Arial"/>
      <w:sz w:val="16"/>
      <w:szCs w:val="16"/>
      <w:lang w:eastAsia="en-US"/>
    </w:rPr>
  </w:style>
  <w:style w:type="paragraph" w:customStyle="1" w:styleId="docpagepaneltext">
    <w:name w:val="docpagepaneltext"/>
    <w:basedOn w:val="Normal"/>
    <w:rsid w:val="00A60CFA"/>
    <w:pPr>
      <w:spacing w:before="100" w:beforeAutospacing="1" w:after="100" w:afterAutospacing="1" w:line="225" w:lineRule="atLeast"/>
      <w:jc w:val="left"/>
    </w:pPr>
    <w:rPr>
      <w:rFonts w:ascii="Arial Unicode MS" w:eastAsia="Arial Unicode MS" w:hAnsi="Arial Unicode MS" w:cs="Arial Unicode MS"/>
      <w:szCs w:val="24"/>
    </w:rPr>
  </w:style>
  <w:style w:type="character" w:customStyle="1" w:styleId="ListParagraphChar">
    <w:name w:val="List Paragraph Char"/>
    <w:aliases w:val="Bullets Char,F5 List Paragraph Char,List Paragraph1 Char,List Paragraph11 Char,Bullet Char"/>
    <w:link w:val="ListParagraph"/>
    <w:uiPriority w:val="34"/>
    <w:locked/>
    <w:rsid w:val="00454F7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lang w:eastAsia="en-US"/>
    </w:rPr>
  </w:style>
  <w:style w:type="paragraph" w:styleId="Heading1">
    <w:name w:val="heading 1"/>
    <w:basedOn w:val="Normal"/>
    <w:next w:val="Normal"/>
    <w:qFormat/>
    <w:pPr>
      <w:keepNext/>
      <w:outlineLvl w:val="0"/>
    </w:pPr>
    <w:rPr>
      <w:rFonts w:ascii="Arial Black" w:hAnsi="Arial Black"/>
      <w:sz w:val="28"/>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rFonts w:eastAsia="Times"/>
      <w:b/>
      <w:color w:val="FFFFFF"/>
    </w:rPr>
  </w:style>
  <w:style w:type="paragraph" w:styleId="Heading4">
    <w:name w:val="heading 4"/>
    <w:basedOn w:val="Normal"/>
    <w:next w:val="Normal"/>
    <w:qFormat/>
    <w:pPr>
      <w:keepNext/>
      <w:pBdr>
        <w:left w:val="single" w:sz="2" w:space="0" w:color="FFFFFF"/>
        <w:bottom w:val="single" w:sz="2" w:space="2" w:color="FFFFFF"/>
        <w:right w:val="single" w:sz="2" w:space="4" w:color="FFFFFF"/>
      </w:pBdr>
      <w:jc w:val="center"/>
      <w:outlineLvl w:val="3"/>
    </w:pPr>
    <w:rPr>
      <w:b/>
      <w:sz w:val="20"/>
    </w:rPr>
  </w:style>
  <w:style w:type="paragraph" w:styleId="Heading5">
    <w:name w:val="heading 5"/>
    <w:basedOn w:val="Normal"/>
    <w:next w:val="Normal"/>
    <w:qFormat/>
    <w:pPr>
      <w:keepNext/>
      <w:pBdr>
        <w:left w:val="single" w:sz="2" w:space="0" w:color="FFFFFF"/>
        <w:bottom w:val="single" w:sz="2" w:space="2" w:color="FFFFFF"/>
        <w:right w:val="single" w:sz="2" w:space="4" w:color="FFFFFF"/>
      </w:pBdr>
      <w:jc w:val="center"/>
      <w:outlineLvl w:val="4"/>
    </w:pPr>
    <w:rPr>
      <w:rFonts w:eastAsia="Times"/>
      <w:b/>
    </w:rPr>
  </w:style>
  <w:style w:type="paragraph" w:styleId="Heading6">
    <w:name w:val="heading 6"/>
    <w:basedOn w:val="Normal"/>
    <w:next w:val="Normal"/>
    <w:qFormat/>
    <w:pPr>
      <w:keepNext/>
      <w:outlineLvl w:val="5"/>
    </w:pPr>
    <w:rPr>
      <w:b/>
      <w:bCs/>
      <w:sz w:val="48"/>
    </w:rPr>
  </w:style>
  <w:style w:type="paragraph" w:styleId="Heading7">
    <w:name w:val="heading 7"/>
    <w:basedOn w:val="Normal"/>
    <w:next w:val="Normal"/>
    <w:qFormat/>
    <w:pPr>
      <w:keepNext/>
      <w:pBdr>
        <w:top w:val="single" w:sz="2" w:space="1" w:color="FFFFFF"/>
        <w:left w:val="single" w:sz="2" w:space="0" w:color="FFFFFF"/>
        <w:bottom w:val="single" w:sz="2" w:space="2" w:color="FFFFFF"/>
        <w:right w:val="single" w:sz="2" w:space="4" w:color="FFFFFF"/>
      </w:pBdr>
      <w:tabs>
        <w:tab w:val="left" w:pos="709"/>
      </w:tabs>
      <w:ind w:left="709" w:right="141" w:hanging="709"/>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pBdr>
        <w:top w:val="single" w:sz="2" w:space="1" w:color="FFFFFF"/>
        <w:left w:val="single" w:sz="2" w:space="0" w:color="FFFFFF"/>
        <w:bottom w:val="single" w:sz="2" w:space="2" w:color="FFFFFF"/>
        <w:right w:val="single" w:sz="2" w:space="4" w:color="FFFFFF"/>
      </w:pBdr>
      <w:tabs>
        <w:tab w:val="left" w:pos="709"/>
      </w:tabs>
      <w:ind w:right="141"/>
    </w:pPr>
    <w:rPr>
      <w:b/>
      <w:bCs/>
      <w:i/>
      <w:iCs/>
      <w:sz w:val="22"/>
    </w:rPr>
  </w:style>
  <w:style w:type="paragraph" w:styleId="BlockText">
    <w:name w:val="Block Text"/>
    <w:basedOn w:val="Normal"/>
    <w:pPr>
      <w:pBdr>
        <w:top w:val="single" w:sz="2" w:space="1" w:color="FFFFFF"/>
        <w:left w:val="single" w:sz="2" w:space="0" w:color="FFFFFF"/>
        <w:bottom w:val="single" w:sz="2" w:space="2" w:color="FFFFFF"/>
        <w:right w:val="single" w:sz="2" w:space="4" w:color="FFFFFF"/>
      </w:pBdr>
      <w:tabs>
        <w:tab w:val="left" w:pos="709"/>
      </w:tabs>
      <w:ind w:left="360" w:right="141"/>
    </w:pPr>
    <w:rPr>
      <w:bCs/>
      <w:iCs/>
      <w:sz w:val="22"/>
    </w:rPr>
  </w:style>
  <w:style w:type="paragraph" w:styleId="BalloonText">
    <w:name w:val="Balloon Text"/>
    <w:basedOn w:val="Normal"/>
    <w:semiHidden/>
    <w:rsid w:val="004A265E"/>
    <w:rPr>
      <w:rFonts w:ascii="Tahoma" w:hAnsi="Tahoma" w:cs="Tahoma"/>
      <w:sz w:val="16"/>
      <w:szCs w:val="16"/>
    </w:rPr>
  </w:style>
  <w:style w:type="table" w:styleId="TableGrid">
    <w:name w:val="Table Grid"/>
    <w:basedOn w:val="TableNormal"/>
    <w:uiPriority w:val="39"/>
    <w:rsid w:val="0008391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F5 List Paragraph,List Paragraph1,List Paragraph11,Bullet"/>
    <w:basedOn w:val="Normal"/>
    <w:link w:val="ListParagraphChar"/>
    <w:uiPriority w:val="34"/>
    <w:qFormat/>
    <w:rsid w:val="00A60CFA"/>
    <w:pPr>
      <w:ind w:left="720"/>
    </w:pPr>
  </w:style>
  <w:style w:type="paragraph" w:customStyle="1" w:styleId="Default">
    <w:name w:val="Default"/>
    <w:rsid w:val="00A60CFA"/>
    <w:pPr>
      <w:autoSpaceDE w:val="0"/>
      <w:autoSpaceDN w:val="0"/>
      <w:adjustRightInd w:val="0"/>
    </w:pPr>
    <w:rPr>
      <w:rFonts w:ascii="Calibri" w:eastAsia="Calibri" w:hAnsi="Calibri" w:cs="Calibri"/>
      <w:color w:val="000000"/>
      <w:sz w:val="24"/>
      <w:szCs w:val="24"/>
      <w:lang w:eastAsia="en-US"/>
    </w:rPr>
  </w:style>
  <w:style w:type="paragraph" w:styleId="BodyText3">
    <w:name w:val="Body Text 3"/>
    <w:basedOn w:val="Normal"/>
    <w:link w:val="BodyText3Char"/>
    <w:rsid w:val="00A60CFA"/>
    <w:pPr>
      <w:spacing w:after="120"/>
    </w:pPr>
    <w:rPr>
      <w:sz w:val="16"/>
      <w:szCs w:val="16"/>
    </w:rPr>
  </w:style>
  <w:style w:type="character" w:customStyle="1" w:styleId="BodyText3Char">
    <w:name w:val="Body Text 3 Char"/>
    <w:link w:val="BodyText3"/>
    <w:rsid w:val="00A60CFA"/>
    <w:rPr>
      <w:rFonts w:ascii="Arial" w:hAnsi="Arial"/>
      <w:sz w:val="16"/>
      <w:szCs w:val="16"/>
      <w:lang w:eastAsia="en-US"/>
    </w:rPr>
  </w:style>
  <w:style w:type="paragraph" w:customStyle="1" w:styleId="docpagepaneltext">
    <w:name w:val="docpagepaneltext"/>
    <w:basedOn w:val="Normal"/>
    <w:rsid w:val="00A60CFA"/>
    <w:pPr>
      <w:spacing w:before="100" w:beforeAutospacing="1" w:after="100" w:afterAutospacing="1" w:line="225" w:lineRule="atLeast"/>
      <w:jc w:val="left"/>
    </w:pPr>
    <w:rPr>
      <w:rFonts w:ascii="Arial Unicode MS" w:eastAsia="Arial Unicode MS" w:hAnsi="Arial Unicode MS" w:cs="Arial Unicode MS"/>
      <w:szCs w:val="24"/>
    </w:rPr>
  </w:style>
  <w:style w:type="character" w:customStyle="1" w:styleId="ListParagraphChar">
    <w:name w:val="List Paragraph Char"/>
    <w:aliases w:val="Bullets Char,F5 List Paragraph Char,List Paragraph1 Char,List Paragraph11 Char,Bullet Char"/>
    <w:link w:val="ListParagraph"/>
    <w:uiPriority w:val="34"/>
    <w:locked/>
    <w:rsid w:val="00454F7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90408">
      <w:bodyDiv w:val="1"/>
      <w:marLeft w:val="0"/>
      <w:marRight w:val="0"/>
      <w:marTop w:val="0"/>
      <w:marBottom w:val="0"/>
      <w:divBdr>
        <w:top w:val="none" w:sz="0" w:space="0" w:color="auto"/>
        <w:left w:val="none" w:sz="0" w:space="0" w:color="auto"/>
        <w:bottom w:val="none" w:sz="0" w:space="0" w:color="auto"/>
        <w:right w:val="none" w:sz="0" w:space="0" w:color="auto"/>
      </w:divBdr>
    </w:div>
    <w:div w:id="19688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NDREW~1\LOCALS~1\Temp\Report_Template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Word" ma:contentTypeID="0x0101007FFE47DA7D9E634FA0CB3B6D7EE1E8EE0600710D3E94E5ABF94F9A0881F0AE74D1AA" ma:contentTypeVersion="267" ma:contentTypeDescription="Blank template for Word" ma:contentTypeScope="" ma:versionID="9993232160538d4d0a76a0e1991505f5">
  <xsd:schema xmlns:xsd="http://www.w3.org/2001/XMLSchema" xmlns:xs="http://www.w3.org/2001/XMLSchema" xmlns:p="http://schemas.microsoft.com/office/2006/metadata/properties" xmlns:ns1="http://schemas.microsoft.com/sharepoint/v3" xmlns:ns2="0c0711d5-f3ae-454e-b8db-a55ec95de996" xmlns:ns3="http://schemas.microsoft.com/sharepoint/v3/fields" targetNamespace="http://schemas.microsoft.com/office/2006/metadata/properties" ma:root="true" ma:fieldsID="bbb6427953e45ae25b165c796a9148b0" ns1:_="" ns2:_="" ns3:_="">
    <xsd:import namespace="http://schemas.microsoft.com/sharepoint/v3"/>
    <xsd:import namespace="0c0711d5-f3ae-454e-b8db-a55ec95de996"/>
    <xsd:import namespace="http://schemas.microsoft.com/sharepoint/v3/fields"/>
    <xsd:element name="properties">
      <xsd:complexType>
        <xsd:sequence>
          <xsd:element name="documentManagement">
            <xsd:complexType>
              <xsd:all>
                <xsd:element ref="ns2:Publishing" minOccurs="0"/>
                <xsd:element ref="ns2:Permissions" minOccurs="0"/>
                <xsd:element ref="ns2:Retention_x0020_Period" minOccurs="0"/>
                <xsd:element ref="ns2:TaxCatchAllLabel" minOccurs="0"/>
                <xsd:element ref="ns1:RoutingTargetPath" minOccurs="0"/>
                <xsd:element ref="ns3:_Version" minOccurs="0"/>
                <xsd:element ref="ns2:Action" minOccurs="0"/>
                <xsd:element ref="ns2:Action2" minOccurs="0"/>
                <xsd:element ref="ns2:Check0" minOccurs="0"/>
                <xsd:element ref="ns2:Check1" minOccurs="0"/>
                <xsd:element ref="ns2:Check2" minOccurs="0"/>
                <xsd:element ref="ns2:Check3" minOccurs="0"/>
                <xsd:element ref="ns2:Check4" minOccurs="0"/>
                <xsd:element ref="ns2:Check5" minOccurs="0"/>
                <xsd:element ref="ns2:Check_x0020_6" minOccurs="0"/>
                <xsd:element ref="ns2:Check7" minOccurs="0"/>
                <xsd:element ref="ns2:CheckEditors" minOccurs="0"/>
                <xsd:element ref="ns2:CheckModDate" minOccurs="0"/>
                <xsd:element ref="ns2:CheckPermissions" minOccurs="0"/>
                <xsd:element ref="ns2:CheckPublishing" minOccurs="0"/>
                <xsd:element ref="ns2:CheckRetentionReview" minOccurs="0"/>
                <xsd:element ref="ns2:CheckStorage" minOccurs="0"/>
                <xsd:element ref="ns2:e6abd5a05153411b8799123e6e76c02c" minOccurs="0"/>
                <xsd:element ref="ns2:TaxCatchAll" minOccurs="0"/>
                <xsd:element ref="ns2:Count" minOccurs="0"/>
                <xsd:element ref="ns2:Directorate_x0020__x0028_Creator_x0029_" minOccurs="0"/>
                <xsd:element ref="ns2:Document" minOccurs="0"/>
                <xsd:element ref="ns2:Editors" minOccurs="0"/>
                <xsd:element ref="ns2:EmailCheck" minOccurs="0"/>
                <xsd:element ref="ns2:Link" minOccurs="0"/>
                <xsd:element ref="ns2:i0cfa939557043ce947e98f9bc78eeb4" minOccurs="0"/>
                <xsd:element ref="ns2:_dlc_DocId" minOccurs="0"/>
                <xsd:element ref="ns2:Modifier" minOccurs="0"/>
                <xsd:element ref="ns2:_dlc_DocIdUrl" minOccurs="0"/>
                <xsd:element ref="ns2:PermissionsCopy" minOccurs="0"/>
                <xsd:element ref="ns2:Project_x0020_ID" minOccurs="0"/>
                <xsd:element ref="ns2:Protective_x0020_Marking" minOccurs="0"/>
                <xsd:element ref="ns2:PublishLink" minOccurs="0"/>
                <xsd:element ref="ns2:Reference" minOccurs="0"/>
                <xsd:element ref="ns2:Retention_x0020_Check" minOccurs="0"/>
                <xsd:element ref="ns2:Retention_x0020_Check2" minOccurs="0"/>
                <xsd:element ref="ns2:Retention_x0020_Review" minOccurs="0"/>
                <xsd:element ref="ns2:RetentionPeriodCheck" minOccurs="0"/>
                <xsd:element ref="ns2:Security_x0020_Level" minOccurs="0"/>
                <xsd:element ref="ns2:Service_x0020__x0028_Creator_x0029_" minOccurs="0"/>
                <xsd:element ref="ns2:_dlc_DocIdPersistId" minOccurs="0"/>
                <xsd:element ref="ns2:SysNotes" minOccurs="0"/>
                <xsd:element ref="ns2:Team_x0020__x0028_Creator_x0029_" minOccurs="0"/>
                <xsd:element ref="ns2:User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10"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0711d5-f3ae-454e-b8db-a55ec95de996" elementFormDefault="qualified">
    <xsd:import namespace="http://schemas.microsoft.com/office/2006/documentManagement/types"/>
    <xsd:import namespace="http://schemas.microsoft.com/office/infopath/2007/PartnerControls"/>
    <xsd:element name="Publishing" ma:index="2" nillable="true" ma:displayName="Storage" ma:default="MyShare" ma:format="Dropdown" ma:internalName="Publishing" ma:readOnly="false">
      <xsd:simpleType>
        <xsd:restriction base="dms:Choice">
          <xsd:enumeration value="MyShare"/>
          <xsd:enumeration value="The Loop"/>
          <xsd:enumeration value="Private"/>
        </xsd:restriction>
      </xsd:simpleType>
    </xsd:element>
    <xsd:element name="Permissions" ma:index="5" nillable="true" ma:displayName="Permissions" ma:description="Leave blank to give everyone access" ma:list="UserInfo" ma:SearchPeopleOnly="false" ma:SharePointGroup="32" ma:internalName="Permission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Period" ma:index="7" nillable="true" ma:displayName="Retention Period" ma:default="24 Months" ma:format="Dropdown" ma:internalName="Retention_x0020_Period">
      <xsd:simpleType>
        <xsd:restriction base="dms:Choice">
          <xsd:enumeration value="6 Months"/>
          <xsd:enumeration value="12 Months"/>
          <xsd:enumeration value="24 Months"/>
          <xsd:enumeration value="36 Months"/>
          <xsd:enumeration value="48 Months"/>
          <xsd:enumeration value="60 Months"/>
        </xsd:restriction>
      </xsd:simpleType>
    </xsd:element>
    <xsd:element name="TaxCatchAllLabel" ma:index="8" nillable="true" ma:displayName="Taxonomy Catch All Column1" ma:description="" ma:hidden="true" ma:list="{9ec3d41e-7e9c-45cb-afb0-931f4bf99244}" ma:internalName="TaxCatchAllLabel" ma:readOnly="true" ma:showField="CatchAllDataLabel"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Action" ma:index="26" nillable="true" ma:displayName="Action" ma:hidden="true" ma:internalName="Action" ma:readOnly="false">
      <xsd:simpleType>
        <xsd:restriction base="dms:Note"/>
      </xsd:simpleType>
    </xsd:element>
    <xsd:element name="Action2" ma:index="27" nillable="true" ma:displayName="Action2" ma:hidden="true" ma:internalName="Action2" ma:readOnly="false">
      <xsd:simpleType>
        <xsd:restriction base="dms:Note"/>
      </xsd:simpleType>
    </xsd:element>
    <xsd:element name="Check0" ma:index="28" nillable="true" ma:displayName="Check0" ma:hidden="true" ma:internalName="Check0" ma:readOnly="false">
      <xsd:simpleType>
        <xsd:restriction base="dms:Text">
          <xsd:maxLength value="255"/>
        </xsd:restriction>
      </xsd:simpleType>
    </xsd:element>
    <xsd:element name="Check1" ma:index="29" nillable="true" ma:displayName="Check1" ma:hidden="true" ma:internalName="Check1" ma:readOnly="false">
      <xsd:simpleType>
        <xsd:restriction base="dms:Text">
          <xsd:maxLength value="255"/>
        </xsd:restriction>
      </xsd:simpleType>
    </xsd:element>
    <xsd:element name="Check2" ma:index="30" nillable="true" ma:displayName="Check2" ma:hidden="true" ma:internalName="Check2" ma:readOnly="false">
      <xsd:simpleType>
        <xsd:restriction base="dms:Text">
          <xsd:maxLength value="255"/>
        </xsd:restriction>
      </xsd:simpleType>
    </xsd:element>
    <xsd:element name="Check3" ma:index="31" nillable="true" ma:displayName="Check3" ma:hidden="true" ma:internalName="Check3" ma:readOnly="false">
      <xsd:simpleType>
        <xsd:restriction base="dms:Text">
          <xsd:maxLength value="255"/>
        </xsd:restriction>
      </xsd:simpleType>
    </xsd:element>
    <xsd:element name="Check4" ma:index="32" nillable="true" ma:displayName="Check4" ma:hidden="true" ma:internalName="Check4" ma:readOnly="false">
      <xsd:simpleType>
        <xsd:restriction base="dms:Text">
          <xsd:maxLength value="255"/>
        </xsd:restriction>
      </xsd:simpleType>
    </xsd:element>
    <xsd:element name="Check5" ma:index="33" nillable="true" ma:displayName="Check5" ma:hidden="true" ma:internalName="Check5" ma:readOnly="false">
      <xsd:simpleType>
        <xsd:restriction base="dms:Text">
          <xsd:maxLength value="255"/>
        </xsd:restriction>
      </xsd:simpleType>
    </xsd:element>
    <xsd:element name="Check_x0020_6" ma:index="34" nillable="true" ma:displayName="Check6" ma:hidden="true" ma:internalName="Check_x0020_6" ma:readOnly="false">
      <xsd:simpleType>
        <xsd:restriction base="dms:Text">
          <xsd:maxLength value="255"/>
        </xsd:restriction>
      </xsd:simpleType>
    </xsd:element>
    <xsd:element name="Check7" ma:index="35" nillable="true" ma:displayName="Check7" ma:hidden="true" ma:internalName="Check7" ma:readOnly="false">
      <xsd:simpleType>
        <xsd:restriction base="dms:Text">
          <xsd:maxLength value="255"/>
        </xsd:restriction>
      </xsd:simpleType>
    </xsd:element>
    <xsd:element name="CheckEditors" ma:index="36" nillable="true" ma:displayName="CheckEditors" ma:hidden="true" ma:list="UserInfo" ma:SearchPeopleOnly="false" ma:SharePointGroup="0" ma:internalName="Check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ModDate" ma:index="37" nillable="true" ma:displayName="CheckModDate" ma:format="DateTime" ma:hidden="true" ma:internalName="CheckModDate" ma:readOnly="false">
      <xsd:simpleType>
        <xsd:restriction base="dms:DateTime"/>
      </xsd:simpleType>
    </xsd:element>
    <xsd:element name="CheckPermissions" ma:index="38" nillable="true" ma:displayName="CheckPermissions" ma:hidden="true" ma:list="UserInfo" ma:SearchPeopleOnly="false" ma:SharePointGroup="0" ma:internalName="CheckPermission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Publishing" ma:index="39" nillable="true" ma:displayName="CheckPublishing" ma:format="Dropdown" ma:hidden="true" ma:internalName="CheckPublishing" ma:readOnly="false">
      <xsd:simpleType>
        <xsd:restriction base="dms:Choice">
          <xsd:enumeration value="Not Required"/>
          <xsd:enumeration value="Required – Edit Mode"/>
          <xsd:enumeration value="Required – Submit for Approval"/>
          <xsd:enumeration value="Required – Approved"/>
        </xsd:restriction>
      </xsd:simpleType>
    </xsd:element>
    <xsd:element name="CheckRetentionReview" ma:index="40" nillable="true" ma:displayName="CheckRetentionReview" ma:format="DateOnly" ma:hidden="true" ma:internalName="CheckRetentionReview" ma:readOnly="false">
      <xsd:simpleType>
        <xsd:restriction base="dms:DateTime"/>
      </xsd:simpleType>
    </xsd:element>
    <xsd:element name="CheckStorage" ma:index="41" nillable="true" ma:displayName="CheckStorage" ma:hidden="true" ma:internalName="CheckStorage" ma:readOnly="false">
      <xsd:simpleType>
        <xsd:restriction base="dms:Text">
          <xsd:maxLength value="255"/>
        </xsd:restriction>
      </xsd:simpleType>
    </xsd:element>
    <xsd:element name="e6abd5a05153411b8799123e6e76c02c" ma:index="42" ma:taxonomy="true" ma:internalName="e6abd5a05153411b8799123e6e76c02c" ma:taxonomyFieldName="Corporate_x0020_Funtion" ma:displayName="Corporate Function" ma:default="" ma:fieldId="{e6abd5a0-5153-411b-8799-123e6e76c02c}" ma:sspId="d8be9104-1ee6-4ea2-976b-4e2c623cc2a8" ma:termSetId="e5294e24-5244-4eae-97ae-42e5040751be" ma:anchorId="00000000-0000-0000-0000-000000000000" ma:open="false" ma:isKeyword="false">
      <xsd:complexType>
        <xsd:sequence>
          <xsd:element ref="pc:Terms" minOccurs="0" maxOccurs="1"/>
        </xsd:sequence>
      </xsd:complexType>
    </xsd:element>
    <xsd:element name="TaxCatchAll" ma:index="43" nillable="true" ma:displayName="Taxonomy Catch All Column" ma:description="" ma:hidden="true" ma:list="{9ec3d41e-7e9c-45cb-afb0-931f4bf99244}" ma:internalName="TaxCatchAll" ma:showField="CatchAllData" ma:web="0c0711d5-f3ae-454e-b8db-a55ec95de996">
      <xsd:complexType>
        <xsd:complexContent>
          <xsd:extension base="dms:MultiChoiceLookup">
            <xsd:sequence>
              <xsd:element name="Value" type="dms:Lookup" maxOccurs="unbounded" minOccurs="0" nillable="true"/>
            </xsd:sequence>
          </xsd:extension>
        </xsd:complexContent>
      </xsd:complexType>
    </xsd:element>
    <xsd:element name="Count" ma:index="44" nillable="true" ma:displayName="Count" ma:decimals="0" ma:hidden="true" ma:internalName="Count" ma:readOnly="false">
      <xsd:simpleType>
        <xsd:restriction base="dms:Number"/>
      </xsd:simpleType>
    </xsd:element>
    <xsd:element name="Directorate_x0020__x0028_Creator_x0029_" ma:index="45" nillable="true" ma:displayName="Directorate (Creator)" ma:hidden="true" ma:internalName="Directorate_x0020__x0028_Creator_x0029_" ma:readOnly="false">
      <xsd:simpleType>
        <xsd:restriction base="dms:Text">
          <xsd:maxLength value="150"/>
        </xsd:restriction>
      </xsd:simpleType>
    </xsd:element>
    <xsd:element name="Document" ma:index="46" nillable="true" ma:displayName="Document" ma:hidden="true" ma:internalName="Document" ma:readOnly="false">
      <xsd:simpleType>
        <xsd:restriction base="dms:Unknown"/>
      </xsd:simpleType>
    </xsd:element>
    <xsd:element name="Editors" ma:index="47" nillable="true" ma:displayName="Editors" ma:description="" ma:hidden="true" ma:list="UserInfo" ma:SearchPeopleOnly="false" ma:SharePointGroup="0" ma:internalName="Edi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mailCheck" ma:index="48" nillable="true" ma:displayName="EmailCheck" ma:hidden="true" ma:internalName="EmailCheck" ma:readOnly="false">
      <xsd:simpleType>
        <xsd:restriction base="dms:Text">
          <xsd:maxLength value="255"/>
        </xsd:restriction>
      </xsd:simpleType>
    </xsd:element>
    <xsd:element name="Link" ma:index="49" nillable="true" ma:displayName="Link" ma:hidden="true" ma:internalName="Link" ma:readOnly="false">
      <xsd:simpleType>
        <xsd:restriction base="dms:Note"/>
      </xsd:simpleType>
    </xsd:element>
    <xsd:element name="i0cfa939557043ce947e98f9bc78eeb4" ma:index="50" ma:taxonomy="true" ma:internalName="i0cfa939557043ce947e98f9bc78eeb4" ma:taxonomyFieldName="Metadata" ma:displayName="Metadata" ma:default="" ma:fieldId="{20cfa939-5570-43ce-947e-98f9bc78eeb4}" ma:taxonomyMulti="true" ma:sspId="d8be9104-1ee6-4ea2-976b-4e2c623cc2a8" ma:termSetId="6acabd7e-5895-434f-8d8d-3e0b34da31f7" ma:anchorId="00000000-0000-0000-0000-000000000000" ma:open="false" ma:isKeyword="false">
      <xsd:complexType>
        <xsd:sequence>
          <xsd:element ref="pc:Terms" minOccurs="0" maxOccurs="1"/>
        </xsd:sequence>
      </xsd:complexType>
    </xsd:element>
    <xsd:element name="_dlc_DocId" ma:index="51" nillable="true" ma:displayName="Document ID Value" ma:description="The value of the document ID assigned to this item." ma:internalName="_dlc_DocId" ma:readOnly="true">
      <xsd:simpleType>
        <xsd:restriction base="dms:Text"/>
      </xsd:simpleType>
    </xsd:element>
    <xsd:element name="Modifier" ma:index="52" nillable="true" ma:displayName="Modifiers" ma:hidden="true" ma:list="UserInfo" ma:SearchPeopleOnly="false" ma:SharePointGroup="0" ma:internalName="Modifi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ermissionsCopy" ma:index="54" nillable="true" ma:displayName="PermissionsCopy" ma:hidden="true" ma:list="UserInfo" ma:SharePointGroup="0" ma:internalName="PermissionsCop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ID" ma:index="55" nillable="true" ma:displayName="Project ID" ma:hidden="true" ma:internalName="Project_x0020_ID" ma:readOnly="false">
      <xsd:simpleType>
        <xsd:restriction base="dms:Text">
          <xsd:maxLength value="5"/>
        </xsd:restriction>
      </xsd:simpleType>
    </xsd:element>
    <xsd:element name="Protective_x0020_Marking" ma:index="56" nillable="true" ma:displayName="Protective Marking" ma:default="Not Protectively Marked" ma:format="Dropdown" ma:hidden="true" ma:internalName="Protective_x0020_Marking" ma:readOnly="false">
      <xsd:simpleType>
        <xsd:restriction base="dms:Choice">
          <xsd:enumeration value="Not Protectively Marked"/>
          <xsd:enumeration value="Protect"/>
          <xsd:enumeration value="Restrict"/>
        </xsd:restriction>
      </xsd:simpleType>
    </xsd:element>
    <xsd:element name="PublishLink" ma:index="57" nillable="true" ma:displayName="PublishLink" ma:hidden="true" ma:internalName="PublishLink" ma:readOnly="false">
      <xsd:simpleType>
        <xsd:restriction base="dms:Note"/>
      </xsd:simpleType>
    </xsd:element>
    <xsd:element name="Reference" ma:index="58" nillable="true" ma:displayName="Reference" ma:hidden="true" ma:internalName="Reference" ma:readOnly="false">
      <xsd:simpleType>
        <xsd:restriction base="dms:Text">
          <xsd:maxLength value="255"/>
        </xsd:restriction>
      </xsd:simpleType>
    </xsd:element>
    <xsd:element name="Retention_x0020_Check" ma:index="59" nillable="true" ma:displayName="Retention Check1" ma:format="DateOnly" ma:hidden="true" ma:internalName="Retention_x0020_Check" ma:readOnly="false">
      <xsd:simpleType>
        <xsd:restriction base="dms:DateTime"/>
      </xsd:simpleType>
    </xsd:element>
    <xsd:element name="Retention_x0020_Check2" ma:index="61" nillable="true" ma:displayName="Retention Period2" ma:default="NOT SET" ma:format="Dropdown" ma:hidden="true" ma:internalName="Retention_x0020_Check2" ma:readOnly="false">
      <xsd:simpleType>
        <xsd:restriction base="dms:Choice">
          <xsd:enumeration value="6 Months"/>
          <xsd:enumeration value="12 Months"/>
          <xsd:enumeration value="24 Months"/>
          <xsd:enumeration value="36 Months"/>
          <xsd:enumeration value="48 Months"/>
          <xsd:enumeration value="60 Months"/>
          <xsd:enumeration value="NOT SET"/>
        </xsd:restriction>
      </xsd:simpleType>
    </xsd:element>
    <xsd:element name="Retention_x0020_Review" ma:index="62" nillable="true" ma:displayName="Retention Review" ma:format="DateOnly" ma:hidden="true" ma:internalName="Retention_x0020_Review" ma:readOnly="false">
      <xsd:simpleType>
        <xsd:restriction base="dms:DateTime"/>
      </xsd:simpleType>
    </xsd:element>
    <xsd:element name="RetentionPeriodCheck" ma:index="63" nillable="true" ma:displayName="RetentionPeriodCheck" ma:hidden="true" ma:internalName="RetentionPeriodCheck" ma:readOnly="false">
      <xsd:simpleType>
        <xsd:restriction base="dms:Text">
          <xsd:maxLength value="255"/>
        </xsd:restriction>
      </xsd:simpleType>
    </xsd:element>
    <xsd:element name="Security_x0020_Level" ma:index="64" nillable="true" ma:displayName="Security Level" ma:default="General" ma:format="Dropdown" ma:hidden="true" ma:internalName="Security_x0020_Level" ma:readOnly="false">
      <xsd:simpleType>
        <xsd:restriction base="dms:Choice">
          <xsd:enumeration value="General"/>
          <xsd:enumeration value="Private"/>
        </xsd:restriction>
      </xsd:simpleType>
    </xsd:element>
    <xsd:element name="Service_x0020__x0028_Creator_x0029_" ma:index="65" nillable="true" ma:displayName="Service (Creator)" ma:hidden="true" ma:internalName="Service_x0020__x0028_Creator_x0029_" ma:readOnly="false">
      <xsd:simpleType>
        <xsd:restriction base="dms:Text">
          <xsd:maxLength value="150"/>
        </xsd:restriction>
      </xsd:simpleType>
    </xsd:element>
    <xsd:element name="_dlc_DocIdPersistId" ma:index="66" nillable="true" ma:displayName="Persist ID" ma:description="Keep ID on add." ma:hidden="true" ma:internalName="_dlc_DocIdPersistId" ma:readOnly="true">
      <xsd:simpleType>
        <xsd:restriction base="dms:Boolean"/>
      </xsd:simpleType>
    </xsd:element>
    <xsd:element name="SysNotes" ma:index="67" nillable="true" ma:displayName="SysNotes" ma:hidden="true" ma:internalName="SysNotes" ma:readOnly="false">
      <xsd:simpleType>
        <xsd:restriction base="dms:Text">
          <xsd:maxLength value="255"/>
        </xsd:restriction>
      </xsd:simpleType>
    </xsd:element>
    <xsd:element name="Team_x0020__x0028_Creator_x0029_" ma:index="68" nillable="true" ma:displayName="Team (Creator)" ma:hidden="true" ma:internalName="Team_x0020__x0028_Creator_x0029_" ma:readOnly="false">
      <xsd:simpleType>
        <xsd:restriction base="dms:Text">
          <xsd:maxLength value="150"/>
        </xsd:restriction>
      </xsd:simpleType>
    </xsd:element>
    <xsd:element name="UserType" ma:index="69" nillable="true" ma:displayName="UserType" ma:hidden="true" ma:internalName="User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4" nillable="true" ma:displayName="Version" ma:hidden="true" ma:internalName="Version0"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0" ma:displayName="Content Type"/>
        <xsd:element ref="dc:title"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heckEditors xmlns="0c0711d5-f3ae-454e-b8db-a55ec95de996">
      <UserInfo>
        <DisplayName>CHORLEY\sp_impers</DisplayName>
        <AccountId>2</AccountId>
        <AccountType/>
      </UserInfo>
    </CheckEditors>
    <EmailCheck xmlns="0c0711d5-f3ae-454e-b8db-a55ec95de996">Sent</EmailCheck>
    <Link xmlns="0c0711d5-f3ae-454e-b8db-a55ec95de996">&lt;a href="http://myshare/store/Storage/Committee%20Report%20Template.docx"&gt;Committee Report Template&lt;/a&gt;</Link>
    <i0cfa939557043ce947e98f9bc78eeb4 xmlns="0c0711d5-f3ae-454e-b8db-a55ec95de996">
      <Terms xmlns="http://schemas.microsoft.com/office/infopath/2007/PartnerControls">
        <TermInfo xmlns="http://schemas.microsoft.com/office/infopath/2007/PartnerControls">
          <TermName xmlns="http://schemas.microsoft.com/office/infopath/2007/PartnerControls">Decision Making</TermName>
          <TermId xmlns="http://schemas.microsoft.com/office/infopath/2007/PartnerControls">ff6ee02b-af09-4a00-884b-5e4a3be002bf</TermId>
        </TermInfo>
      </Terms>
    </i0cfa939557043ce947e98f9bc78eeb4>
    <RoutingTargetPath xmlns="http://schemas.microsoft.com/sharepoint/v3" xsi:nil="true"/>
    <_Version xmlns="http://schemas.microsoft.com/sharepoint/v3/fields" xsi:nil="true"/>
    <Check2 xmlns="0c0711d5-f3ae-454e-b8db-a55ec95de996">0</Check2>
    <PublishLink xmlns="0c0711d5-f3ae-454e-b8db-a55ec95de996" xsi:nil="true"/>
    <Reference xmlns="0c0711d5-f3ae-454e-b8db-a55ec95de996">h</Reference>
    <Service_x0020__x0028_Creator_x0029_ xmlns="0c0711d5-f3ae-454e-b8db-a55ec95de996">Governance</Service_x0020__x0028_Creator_x0029_>
    <Document xmlns="0c0711d5-f3ae-454e-b8db-a55ec95de996" xsi:nil="true"/>
    <e6abd5a05153411b8799123e6e76c02c xmlns="0c0711d5-f3ae-454e-b8db-a55ec95de996">
      <Terms xmlns="http://schemas.microsoft.com/office/infopath/2007/PartnerControls">
        <TermInfo xmlns="http://schemas.microsoft.com/office/infopath/2007/PartnerControls">
          <TermName xmlns="http://schemas.microsoft.com/office/infopath/2007/PartnerControls">Democratic Services</TermName>
          <TermId xmlns="http://schemas.microsoft.com/office/infopath/2007/PartnerControls">e3fdfb38-eca4-47d0-9534-71a3160e7caa</TermId>
        </TermInfo>
      </Terms>
    </e6abd5a05153411b8799123e6e76c02c>
    <Count xmlns="0c0711d5-f3ae-454e-b8db-a55ec95de996" xsi:nil="true"/>
    <Protective_x0020_Marking xmlns="0c0711d5-f3ae-454e-b8db-a55ec95de996">Not Protectively Marked</Protective_x0020_Marking>
    <Retention_x0020_Check2 xmlns="0c0711d5-f3ae-454e-b8db-a55ec95de996">24 Months</Retention_x0020_Check2>
    <Team_x0020__x0028_Creator_x0029_ xmlns="0c0711d5-f3ae-454e-b8db-a55ec95de996">Democratic Services</Team_x0020__x0028_Creator_x0029_>
    <Check5 xmlns="0c0711d5-f3ae-454e-b8db-a55ec95de996">0</Check5>
    <Project_x0020_ID xmlns="0c0711d5-f3ae-454e-b8db-a55ec95de996" xsi:nil="true"/>
    <CheckModDate xmlns="0c0711d5-f3ae-454e-b8db-a55ec95de996">2013-10-23T15:32:00+00:00</CheckModDate>
    <SysNotes xmlns="0c0711d5-f3ae-454e-b8db-a55ec95de996" xsi:nil="true"/>
    <Check1 xmlns="0c0711d5-f3ae-454e-b8db-a55ec95de996">0</Check1>
    <Check4 xmlns="0c0711d5-f3ae-454e-b8db-a55ec95de996">0</Check4>
    <Action2 xmlns="0c0711d5-f3ae-454e-b8db-a55ec95de996">Permissions Stripped</Action2>
    <CheckStorage xmlns="0c0711d5-f3ae-454e-b8db-a55ec95de996">MyShare</CheckStorage>
    <Editors xmlns="0c0711d5-f3ae-454e-b8db-a55ec95de996">
      <UserInfo>
        <DisplayName>CHORLEY\sp_impers</DisplayName>
        <AccountId>2</AccountId>
        <AccountType/>
      </UserInfo>
    </Editors>
    <Check_x0020_6 xmlns="0c0711d5-f3ae-454e-b8db-a55ec95de996" xsi:nil="true"/>
    <CheckRetentionReview xmlns="0c0711d5-f3ae-454e-b8db-a55ec95de996">2015-10-23T14:32:00+00:00</CheckRetentionReview>
    <Action xmlns="0c0711d5-f3ae-454e-b8db-a55ec95de996">MOVED</Action>
    <Directorate_x0020__x0028_Creator_x0029_ xmlns="0c0711d5-f3ae-454e-b8db-a55ec95de996">Transformation</Directorate_x0020__x0028_Creator_x0029_>
    <Modifier xmlns="0c0711d5-f3ae-454e-b8db-a55ec95de996">
      <UserInfo>
        <DisplayName>Ruth Rimmington</DisplayName>
        <AccountId>389</AccountId>
        <AccountType/>
      </UserInfo>
      <UserInfo>
        <DisplayName>CHORLEY\sp_impers</DisplayName>
        <AccountId>2</AccountId>
        <AccountType/>
      </UserInfo>
    </Modifier>
    <PermissionsCopy xmlns="0c0711d5-f3ae-454e-b8db-a55ec95de996">
      <UserInfo>
        <DisplayName/>
        <AccountId xsi:nil="true"/>
        <AccountType/>
      </UserInfo>
    </PermissionsCopy>
    <Retention_x0020_Check xmlns="0c0711d5-f3ae-454e-b8db-a55ec95de996" xsi:nil="true"/>
    <Check0 xmlns="0c0711d5-f3ae-454e-b8db-a55ec95de996" xsi:nil="true"/>
    <Check7 xmlns="0c0711d5-f3ae-454e-b8db-a55ec95de996" xsi:nil="true"/>
    <CheckPublishing xmlns="0c0711d5-f3ae-454e-b8db-a55ec95de996" xsi:nil="true"/>
    <RetentionPeriodCheck xmlns="0c0711d5-f3ae-454e-b8db-a55ec95de996">24 Months</RetentionPeriodCheck>
    <UserType xmlns="0c0711d5-f3ae-454e-b8db-a55ec95de996">[S]</UserType>
    <TaxCatchAll xmlns="0c0711d5-f3ae-454e-b8db-a55ec95de996">
      <Value>76</Value>
      <Value>75</Value>
    </TaxCatchAll>
    <Retention_x0020_Period xmlns="0c0711d5-f3ae-454e-b8db-a55ec95de996">24 Months</Retention_x0020_Period>
    <Retention_x0020_Review xmlns="0c0711d5-f3ae-454e-b8db-a55ec95de996">2015-10-23T15:32:00+00:00</Retention_x0020_Review>
    <Publishing xmlns="0c0711d5-f3ae-454e-b8db-a55ec95de996">MyShare</Publishing>
    <Check3 xmlns="0c0711d5-f3ae-454e-b8db-a55ec95de996">0</Check3>
    <CheckPermissions xmlns="0c0711d5-f3ae-454e-b8db-a55ec95de996">
      <UserInfo>
        <DisplayName/>
        <AccountId xsi:nil="true"/>
        <AccountType/>
      </UserInfo>
    </CheckPermissions>
    <Permissions xmlns="0c0711d5-f3ae-454e-b8db-a55ec95de996">
      <UserInfo>
        <DisplayName/>
        <AccountId xsi:nil="true"/>
        <AccountType/>
      </UserInfo>
    </Permissions>
    <Security_x0020_Level xmlns="0c0711d5-f3ae-454e-b8db-a55ec95de996">General</Security_x0020_Leve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B218-6F40-43B0-9A42-0E955F031129}">
  <ds:schemaRefs>
    <ds:schemaRef ds:uri="http://schemas.microsoft.com/sharepoint/events"/>
  </ds:schemaRefs>
</ds:datastoreItem>
</file>

<file path=customXml/itemProps2.xml><?xml version="1.0" encoding="utf-8"?>
<ds:datastoreItem xmlns:ds="http://schemas.openxmlformats.org/officeDocument/2006/customXml" ds:itemID="{3F5527BC-564C-4509-BA0B-697462E0B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0711d5-f3ae-454e-b8db-a55ec95de99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064BE-4EFB-4341-9A59-DC142650DC43}">
  <ds:schemaRefs>
    <ds:schemaRef ds:uri="http://schemas.microsoft.com/office/2006/metadata/customXsn"/>
  </ds:schemaRefs>
</ds:datastoreItem>
</file>

<file path=customXml/itemProps4.xml><?xml version="1.0" encoding="utf-8"?>
<ds:datastoreItem xmlns:ds="http://schemas.openxmlformats.org/officeDocument/2006/customXml" ds:itemID="{DAFCC7CF-AB9D-402B-9300-9835E1651461}">
  <ds:schemaRefs>
    <ds:schemaRef ds:uri="http://schemas.microsoft.com/sharepoint/v3/contenttype/forms"/>
  </ds:schemaRefs>
</ds:datastoreItem>
</file>

<file path=customXml/itemProps5.xml><?xml version="1.0" encoding="utf-8"?>
<ds:datastoreItem xmlns:ds="http://schemas.openxmlformats.org/officeDocument/2006/customXml" ds:itemID="{DE8F1B1F-93C0-4BA3-8FD9-AE57F428A8EF}">
  <ds:schemaRefs>
    <ds:schemaRef ds:uri="http://schemas.microsoft.com/sharepoint/v3/fields"/>
    <ds:schemaRef ds:uri="http://schemas.openxmlformats.org/package/2006/metadata/core-properties"/>
    <ds:schemaRef ds:uri="http://schemas.microsoft.com/office/2006/documentManagement/types"/>
    <ds:schemaRef ds:uri="http://purl.org/dc/terms/"/>
    <ds:schemaRef ds:uri="http://purl.org/dc/dcmitype/"/>
    <ds:schemaRef ds:uri="http://purl.org/dc/elements/1.1/"/>
    <ds:schemaRef ds:uri="http://schemas.microsoft.com/sharepoint/v3"/>
    <ds:schemaRef ds:uri="http://schemas.microsoft.com/office/infopath/2007/PartnerControls"/>
    <ds:schemaRef ds:uri="0c0711d5-f3ae-454e-b8db-a55ec95de996"/>
    <ds:schemaRef ds:uri="http://www.w3.org/XML/1998/namespace"/>
    <ds:schemaRef ds:uri="http://schemas.microsoft.com/office/2006/metadata/properties"/>
  </ds:schemaRefs>
</ds:datastoreItem>
</file>

<file path=customXml/itemProps6.xml><?xml version="1.0" encoding="utf-8"?>
<ds:datastoreItem xmlns:ds="http://schemas.openxmlformats.org/officeDocument/2006/customXml" ds:itemID="{7A8F65C8-7C51-49B8-9AD3-F88C0D91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Report_Template_</Template>
  <TotalTime>345</TotalTime>
  <Pages>6</Pages>
  <Words>2477</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Committee Report Template</vt:lpstr>
    </vt:vector>
  </TitlesOfParts>
  <Company>CBC</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 Template</dc:title>
  <dc:subject>NEW REPORT</dc:subject>
  <dc:creator>Ruth Rimmington</dc:creator>
  <cp:keywords>Committee Report Template</cp:keywords>
  <cp:lastModifiedBy>alison marland</cp:lastModifiedBy>
  <cp:revision>11</cp:revision>
  <cp:lastPrinted>2014-02-25T16:53:00Z</cp:lastPrinted>
  <dcterms:created xsi:type="dcterms:W3CDTF">2018-01-10T09:14:00Z</dcterms:created>
  <dcterms:modified xsi:type="dcterms:W3CDTF">2018-01-16T13:26:00Z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ADMINREP/REPORT</vt:lpwstr>
  </property>
  <property fmtid="{D5CDD505-2E9C-101B-9397-08002B2CF9AE}" pid="3" name="ContentTypeId">
    <vt:lpwstr>0x0101007FFE47DA7D9E634FA0CB3B6D7EE1E8EE0600710D3E94E5ABF94F9A0881F0AE74D1AA</vt:lpwstr>
  </property>
  <property fmtid="{D5CDD505-2E9C-101B-9397-08002B2CF9AE}" pid="4" name="_dlc_DocIdItemGuid">
    <vt:lpwstr>cb02a340-3659-43c4-8169-b61149d1430a</vt:lpwstr>
  </property>
  <property fmtid="{D5CDD505-2E9C-101B-9397-08002B2CF9AE}" pid="5" name="Metadata">
    <vt:lpwstr>75;#Decision Making|ff6ee02b-af09-4a00-884b-5e4a3be002bf</vt:lpwstr>
  </property>
  <property fmtid="{D5CDD505-2E9C-101B-9397-08002B2CF9AE}" pid="6" name="Corporate Funtion">
    <vt:lpwstr>76;#Democratic Services|e3fdfb38-eca4-47d0-9534-71a3160e7caa</vt:lpwstr>
  </property>
  <property fmtid="{D5CDD505-2E9C-101B-9397-08002B2CF9AE}" pid="7" name="WorkflowCreationPath">
    <vt:lpwstr>ef856428-06cf-450d-bf97-bfc46dba6a26,4;ef856428-06cf-450d-bf97-bfc46dba6a26,5;ef856428-06cf-450d-bf97-bfc46dba6a26,5;ef856428-06cf-450d-bf97-bfc46dba6a26,5;ef856428-06cf-450d-bf97-bfc46dba6a26,5;ef856428-06cf-450d-bf97-bfc46dba6a26,5;ef856428-06cf-450d-bf</vt:lpwstr>
  </property>
  <property fmtid="{D5CDD505-2E9C-101B-9397-08002B2CF9AE}" pid="8" name="_dlc_DocId">
    <vt:lpwstr>MYSHARE-13-3310</vt:lpwstr>
  </property>
  <property fmtid="{D5CDD505-2E9C-101B-9397-08002B2CF9AE}" pid="9" name="_dlc_DocIdPersistId">
    <vt:lpwstr>0</vt:lpwstr>
  </property>
  <property fmtid="{D5CDD505-2E9C-101B-9397-08002B2CF9AE}" pid="10" name="_dlc_DocIdUrl">
    <vt:lpwstr>http://myshare/store/_layouts/DocIdRedir.aspx?ID=MYSHARE-13-3310, MYSHARE-13-3310</vt:lpwstr>
  </property>
  <property fmtid="{D5CDD505-2E9C-101B-9397-08002B2CF9AE}" pid="11" name="_AdHocReviewCycleID">
    <vt:i4>-2085483439</vt:i4>
  </property>
  <property fmtid="{D5CDD505-2E9C-101B-9397-08002B2CF9AE}" pid="12" name="_NewReviewCycle">
    <vt:lpwstr/>
  </property>
  <property fmtid="{D5CDD505-2E9C-101B-9397-08002B2CF9AE}" pid="13" name="_EmailSubject">
    <vt:lpwstr>JAC Report - Central Lancashire Employment Land Study 2017</vt:lpwstr>
  </property>
  <property fmtid="{D5CDD505-2E9C-101B-9397-08002B2CF9AE}" pid="14" name="_AuthorEmail">
    <vt:lpwstr>alison.marland@chorley.gov.uk</vt:lpwstr>
  </property>
  <property fmtid="{D5CDD505-2E9C-101B-9397-08002B2CF9AE}" pid="15" name="_AuthorEmailDisplayName">
    <vt:lpwstr>Alison Marland</vt:lpwstr>
  </property>
  <property fmtid="{D5CDD505-2E9C-101B-9397-08002B2CF9AE}" pid="17" name="_PreviousAdHocReviewCycleID">
    <vt:i4>-909577620</vt:i4>
  </property>
</Properties>
</file>